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95C1" w14:textId="77777777" w:rsidR="000503FB" w:rsidRDefault="000503FB">
      <w:pPr>
        <w:pStyle w:val="BodyText"/>
        <w:rPr>
          <w:rFonts w:ascii="Times New Roman"/>
          <w:sz w:val="20"/>
        </w:rPr>
      </w:pPr>
    </w:p>
    <w:p w14:paraId="614D0526" w14:textId="77777777" w:rsidR="000503FB" w:rsidRDefault="000503FB">
      <w:pPr>
        <w:pStyle w:val="BodyText"/>
        <w:spacing w:before="2"/>
        <w:rPr>
          <w:rFonts w:ascii="Times New Roman"/>
          <w:sz w:val="17"/>
        </w:rPr>
      </w:pPr>
    </w:p>
    <w:p w14:paraId="62CB5C58" w14:textId="77777777" w:rsidR="000503FB" w:rsidRDefault="00503F50">
      <w:pPr>
        <w:pStyle w:val="BodyText"/>
        <w:spacing w:before="92"/>
        <w:ind w:left="5307"/>
      </w:pPr>
      <w:r>
        <w:rPr>
          <w:noProof/>
        </w:rPr>
        <w:drawing>
          <wp:anchor distT="0" distB="0" distL="0" distR="0" simplePos="0" relativeHeight="251658240" behindDoc="0" locked="0" layoutInCell="1" allowOverlap="1" wp14:anchorId="037F9B51" wp14:editId="5176327D">
            <wp:simplePos x="0" y="0"/>
            <wp:positionH relativeFrom="page">
              <wp:posOffset>914399</wp:posOffset>
            </wp:positionH>
            <wp:positionV relativeFrom="paragraph">
              <wp:posOffset>-268022</wp:posOffset>
            </wp:positionV>
            <wp:extent cx="3009899" cy="469264"/>
            <wp:effectExtent l="0" t="0" r="0" b="0"/>
            <wp:wrapNone/>
            <wp:docPr id="1" name="image1.jpeg" descr="Aberdeenshi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09899" cy="469264"/>
                    </a:xfrm>
                    <a:prstGeom prst="rect">
                      <a:avLst/>
                    </a:prstGeom>
                  </pic:spPr>
                </pic:pic>
              </a:graphicData>
            </a:graphic>
          </wp:anchor>
        </w:drawing>
      </w:r>
      <w:r>
        <w:rPr>
          <w:color w:val="002979"/>
        </w:rPr>
        <w:t>Education and Children’s Services</w:t>
      </w:r>
    </w:p>
    <w:p w14:paraId="2EA27822" w14:textId="77777777" w:rsidR="000503FB" w:rsidRDefault="000503FB">
      <w:pPr>
        <w:pStyle w:val="BodyText"/>
        <w:rPr>
          <w:sz w:val="20"/>
        </w:rPr>
      </w:pPr>
    </w:p>
    <w:p w14:paraId="29E773DD" w14:textId="77777777" w:rsidR="000503FB" w:rsidRDefault="000503FB">
      <w:pPr>
        <w:pStyle w:val="BodyText"/>
        <w:rPr>
          <w:sz w:val="20"/>
        </w:rPr>
      </w:pPr>
    </w:p>
    <w:p w14:paraId="2F54B203" w14:textId="77777777" w:rsidR="000503FB" w:rsidRDefault="00503F50">
      <w:pPr>
        <w:spacing w:before="251" w:line="259" w:lineRule="auto"/>
        <w:ind w:left="212" w:right="508" w:hanging="10"/>
        <w:rPr>
          <w:b/>
          <w:sz w:val="36"/>
        </w:rPr>
      </w:pPr>
      <w:r>
        <w:rPr>
          <w:b/>
          <w:sz w:val="36"/>
        </w:rPr>
        <w:t>ANTI-BULLYING POLICY: BULLYING PREVENTION AND MANAGEMENT FOR EDUCATIONAL ESTABLISHMENTS</w:t>
      </w:r>
    </w:p>
    <w:p w14:paraId="5F3DF6ED" w14:textId="77777777" w:rsidR="000503FB" w:rsidRDefault="000503FB">
      <w:pPr>
        <w:pStyle w:val="BodyText"/>
        <w:spacing w:before="9"/>
        <w:rPr>
          <w:b/>
          <w:sz w:val="51"/>
        </w:rPr>
      </w:pPr>
    </w:p>
    <w:p w14:paraId="6736DA21" w14:textId="45F6E897" w:rsidR="000503FB" w:rsidRDefault="00503F50">
      <w:pPr>
        <w:pStyle w:val="Heading1"/>
        <w:ind w:left="351" w:firstLine="0"/>
        <w:jc w:val="both"/>
      </w:pPr>
      <w:r>
        <w:rPr>
          <w:noProof/>
        </w:rPr>
        <mc:AlternateContent>
          <mc:Choice Requires="wps">
            <w:drawing>
              <wp:anchor distT="0" distB="0" distL="114300" distR="114300" simplePos="0" relativeHeight="251659264" behindDoc="0" locked="0" layoutInCell="1" allowOverlap="1" wp14:anchorId="3E7BCADD" wp14:editId="547FCD61">
                <wp:simplePos x="0" y="0"/>
                <wp:positionH relativeFrom="page">
                  <wp:posOffset>2491740</wp:posOffset>
                </wp:positionH>
                <wp:positionV relativeFrom="paragraph">
                  <wp:posOffset>-5080</wp:posOffset>
                </wp:positionV>
                <wp:extent cx="4177665" cy="2240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224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4"/>
                            </w:tblGrid>
                            <w:tr w:rsidR="000503FB" w14:paraId="7692132C" w14:textId="77777777">
                              <w:trPr>
                                <w:trHeight w:val="736"/>
                              </w:trPr>
                              <w:tc>
                                <w:tcPr>
                                  <w:tcW w:w="6564" w:type="dxa"/>
                                </w:tcPr>
                                <w:p w14:paraId="2E2257E1" w14:textId="77777777" w:rsidR="000503FB" w:rsidRDefault="00503F50">
                                  <w:pPr>
                                    <w:pStyle w:val="TableParagraph"/>
                                    <w:spacing w:before="223"/>
                                    <w:rPr>
                                      <w:sz w:val="24"/>
                                    </w:rPr>
                                  </w:pPr>
                                  <w:r>
                                    <w:rPr>
                                      <w:sz w:val="24"/>
                                    </w:rPr>
                                    <w:t>Approved</w:t>
                                  </w:r>
                                </w:p>
                              </w:tc>
                            </w:tr>
                            <w:tr w:rsidR="000503FB" w14:paraId="2163777B" w14:textId="77777777">
                              <w:trPr>
                                <w:trHeight w:val="902"/>
                              </w:trPr>
                              <w:tc>
                                <w:tcPr>
                                  <w:tcW w:w="6564" w:type="dxa"/>
                                </w:tcPr>
                                <w:p w14:paraId="5CF68747" w14:textId="77777777" w:rsidR="000503FB" w:rsidRDefault="00503F50">
                                  <w:pPr>
                                    <w:pStyle w:val="TableParagraph"/>
                                    <w:rPr>
                                      <w:sz w:val="24"/>
                                    </w:rPr>
                                  </w:pPr>
                                  <w:r>
                                    <w:rPr>
                                      <w:sz w:val="24"/>
                                    </w:rPr>
                                    <w:t>Katie Timney</w:t>
                                  </w:r>
                                </w:p>
                                <w:p w14:paraId="78B09837" w14:textId="77777777" w:rsidR="000503FB" w:rsidRDefault="00503F50">
                                  <w:pPr>
                                    <w:pStyle w:val="TableParagraph"/>
                                    <w:spacing w:before="21"/>
                                    <w:rPr>
                                      <w:sz w:val="24"/>
                                    </w:rPr>
                                  </w:pPr>
                                  <w:r>
                                    <w:rPr>
                                      <w:sz w:val="24"/>
                                    </w:rPr>
                                    <w:t>Education Support Officer</w:t>
                                  </w:r>
                                </w:p>
                                <w:p w14:paraId="29CC65A0" w14:textId="77777777" w:rsidR="000503FB" w:rsidRDefault="00503F50">
                                  <w:pPr>
                                    <w:pStyle w:val="TableParagraph"/>
                                    <w:spacing w:before="22"/>
                                    <w:rPr>
                                      <w:sz w:val="24"/>
                                    </w:rPr>
                                  </w:pPr>
                                  <w:r>
                                    <w:rPr>
                                      <w:sz w:val="24"/>
                                    </w:rPr>
                                    <w:t>Inclusion, Equity and Wellbeing Team</w:t>
                                  </w:r>
                                </w:p>
                              </w:tc>
                            </w:tr>
                            <w:tr w:rsidR="000503FB" w14:paraId="16EC6801" w14:textId="77777777">
                              <w:trPr>
                                <w:trHeight w:val="901"/>
                              </w:trPr>
                              <w:tc>
                                <w:tcPr>
                                  <w:tcW w:w="6564" w:type="dxa"/>
                                </w:tcPr>
                                <w:p w14:paraId="7FEB60AD" w14:textId="77777777" w:rsidR="000503FB" w:rsidRDefault="00503F50">
                                  <w:pPr>
                                    <w:pStyle w:val="TableParagraph"/>
                                    <w:rPr>
                                      <w:sz w:val="24"/>
                                    </w:rPr>
                                  </w:pPr>
                                  <w:r>
                                    <w:rPr>
                                      <w:sz w:val="24"/>
                                    </w:rPr>
                                    <w:t>Vincent Docherty</w:t>
                                  </w:r>
                                </w:p>
                                <w:p w14:paraId="03E8D97E" w14:textId="77777777" w:rsidR="000503FB" w:rsidRDefault="00503F50">
                                  <w:pPr>
                                    <w:pStyle w:val="TableParagraph"/>
                                    <w:spacing w:before="7" w:line="290" w:lineRule="atLeast"/>
                                    <w:ind w:right="1450"/>
                                    <w:rPr>
                                      <w:sz w:val="24"/>
                                    </w:rPr>
                                  </w:pPr>
                                  <w:r>
                                    <w:rPr>
                                      <w:sz w:val="24"/>
                                    </w:rPr>
                                    <w:t>Head of Education and Chief Education Officer Education and Children’s Services</w:t>
                                  </w:r>
                                </w:p>
                              </w:tc>
                            </w:tr>
                            <w:tr w:rsidR="000503FB" w14:paraId="7964D067" w14:textId="77777777">
                              <w:trPr>
                                <w:trHeight w:val="304"/>
                              </w:trPr>
                              <w:tc>
                                <w:tcPr>
                                  <w:tcW w:w="6564" w:type="dxa"/>
                                </w:tcPr>
                                <w:p w14:paraId="065EAECE" w14:textId="77777777" w:rsidR="000503FB" w:rsidRDefault="00503F50">
                                  <w:pPr>
                                    <w:pStyle w:val="TableParagraph"/>
                                    <w:spacing w:before="7"/>
                                    <w:rPr>
                                      <w:sz w:val="24"/>
                                    </w:rPr>
                                  </w:pPr>
                                  <w:r>
                                    <w:rPr>
                                      <w:sz w:val="24"/>
                                    </w:rPr>
                                    <w:t>Education &amp; Children’s Services Committee</w:t>
                                  </w:r>
                                </w:p>
                              </w:tc>
                            </w:tr>
                            <w:tr w:rsidR="000503FB" w14:paraId="173D9008" w14:textId="77777777">
                              <w:trPr>
                                <w:trHeight w:val="306"/>
                              </w:trPr>
                              <w:tc>
                                <w:tcPr>
                                  <w:tcW w:w="6564" w:type="dxa"/>
                                </w:tcPr>
                                <w:p w14:paraId="2B9BE8C5" w14:textId="77777777" w:rsidR="000503FB" w:rsidRDefault="00503F50">
                                  <w:pPr>
                                    <w:pStyle w:val="TableParagraph"/>
                                    <w:rPr>
                                      <w:sz w:val="24"/>
                                    </w:rPr>
                                  </w:pPr>
                                  <w:r>
                                    <w:rPr>
                                      <w:sz w:val="24"/>
                                    </w:rPr>
                                    <w:t>March 2022</w:t>
                                  </w:r>
                                </w:p>
                              </w:tc>
                            </w:tr>
                            <w:tr w:rsidR="000503FB" w14:paraId="229BB7A5" w14:textId="77777777">
                              <w:trPr>
                                <w:trHeight w:val="306"/>
                              </w:trPr>
                              <w:tc>
                                <w:tcPr>
                                  <w:tcW w:w="6564" w:type="dxa"/>
                                </w:tcPr>
                                <w:p w14:paraId="2FCB3ACE" w14:textId="77777777" w:rsidR="000503FB" w:rsidRDefault="00503F50">
                                  <w:pPr>
                                    <w:pStyle w:val="TableParagraph"/>
                                    <w:rPr>
                                      <w:sz w:val="24"/>
                                    </w:rPr>
                                  </w:pPr>
                                  <w:r>
                                    <w:rPr>
                                      <w:sz w:val="24"/>
                                    </w:rPr>
                                    <w:t>March 2025</w:t>
                                  </w:r>
                                </w:p>
                              </w:tc>
                            </w:tr>
                          </w:tbl>
                          <w:p w14:paraId="4AE1015E" w14:textId="77777777" w:rsidR="000503FB" w:rsidRDefault="000503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BCADD" id="_x0000_t202" coordsize="21600,21600" o:spt="202" path="m,l,21600r21600,l21600,xe">
                <v:stroke joinstyle="miter"/>
                <v:path gradientshapeok="t" o:connecttype="rect"/>
              </v:shapetype>
              <v:shape id="Text Box 2" o:spid="_x0000_s1026" type="#_x0000_t202" style="position:absolute;left:0;text-align:left;margin-left:196.2pt;margin-top:-.4pt;width:328.95pt;height:17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4"/>
                      </w:tblGrid>
                      <w:tr w:rsidR="000503FB" w14:paraId="7692132C" w14:textId="77777777">
                        <w:trPr>
                          <w:trHeight w:val="736"/>
                        </w:trPr>
                        <w:tc>
                          <w:tcPr>
                            <w:tcW w:w="6564" w:type="dxa"/>
                          </w:tcPr>
                          <w:p w14:paraId="2E2257E1" w14:textId="77777777" w:rsidR="000503FB" w:rsidRDefault="00503F50">
                            <w:pPr>
                              <w:pStyle w:val="TableParagraph"/>
                              <w:spacing w:before="223"/>
                              <w:rPr>
                                <w:sz w:val="24"/>
                              </w:rPr>
                            </w:pPr>
                            <w:r>
                              <w:rPr>
                                <w:sz w:val="24"/>
                              </w:rPr>
                              <w:t>Approved</w:t>
                            </w:r>
                          </w:p>
                        </w:tc>
                      </w:tr>
                      <w:tr w:rsidR="000503FB" w14:paraId="2163777B" w14:textId="77777777">
                        <w:trPr>
                          <w:trHeight w:val="902"/>
                        </w:trPr>
                        <w:tc>
                          <w:tcPr>
                            <w:tcW w:w="6564" w:type="dxa"/>
                          </w:tcPr>
                          <w:p w14:paraId="5CF68747" w14:textId="77777777" w:rsidR="000503FB" w:rsidRDefault="00503F50">
                            <w:pPr>
                              <w:pStyle w:val="TableParagraph"/>
                              <w:rPr>
                                <w:sz w:val="24"/>
                              </w:rPr>
                            </w:pPr>
                            <w:r>
                              <w:rPr>
                                <w:sz w:val="24"/>
                              </w:rPr>
                              <w:t>Katie Timney</w:t>
                            </w:r>
                          </w:p>
                          <w:p w14:paraId="78B09837" w14:textId="77777777" w:rsidR="000503FB" w:rsidRDefault="00503F50">
                            <w:pPr>
                              <w:pStyle w:val="TableParagraph"/>
                              <w:spacing w:before="21"/>
                              <w:rPr>
                                <w:sz w:val="24"/>
                              </w:rPr>
                            </w:pPr>
                            <w:r>
                              <w:rPr>
                                <w:sz w:val="24"/>
                              </w:rPr>
                              <w:t>Education Support Officer</w:t>
                            </w:r>
                          </w:p>
                          <w:p w14:paraId="29CC65A0" w14:textId="77777777" w:rsidR="000503FB" w:rsidRDefault="00503F50">
                            <w:pPr>
                              <w:pStyle w:val="TableParagraph"/>
                              <w:spacing w:before="22"/>
                              <w:rPr>
                                <w:sz w:val="24"/>
                              </w:rPr>
                            </w:pPr>
                            <w:r>
                              <w:rPr>
                                <w:sz w:val="24"/>
                              </w:rPr>
                              <w:t>Inclusion, Equity and Wellbeing Team</w:t>
                            </w:r>
                          </w:p>
                        </w:tc>
                      </w:tr>
                      <w:tr w:rsidR="000503FB" w14:paraId="16EC6801" w14:textId="77777777">
                        <w:trPr>
                          <w:trHeight w:val="901"/>
                        </w:trPr>
                        <w:tc>
                          <w:tcPr>
                            <w:tcW w:w="6564" w:type="dxa"/>
                          </w:tcPr>
                          <w:p w14:paraId="7FEB60AD" w14:textId="77777777" w:rsidR="000503FB" w:rsidRDefault="00503F50">
                            <w:pPr>
                              <w:pStyle w:val="TableParagraph"/>
                              <w:rPr>
                                <w:sz w:val="24"/>
                              </w:rPr>
                            </w:pPr>
                            <w:r>
                              <w:rPr>
                                <w:sz w:val="24"/>
                              </w:rPr>
                              <w:t>Vincent Docherty</w:t>
                            </w:r>
                          </w:p>
                          <w:p w14:paraId="03E8D97E" w14:textId="77777777" w:rsidR="000503FB" w:rsidRDefault="00503F50">
                            <w:pPr>
                              <w:pStyle w:val="TableParagraph"/>
                              <w:spacing w:before="7" w:line="290" w:lineRule="atLeast"/>
                              <w:ind w:right="1450"/>
                              <w:rPr>
                                <w:sz w:val="24"/>
                              </w:rPr>
                            </w:pPr>
                            <w:r>
                              <w:rPr>
                                <w:sz w:val="24"/>
                              </w:rPr>
                              <w:t>Head of Education and Chief Education Officer Education and Children’s Services</w:t>
                            </w:r>
                          </w:p>
                        </w:tc>
                      </w:tr>
                      <w:tr w:rsidR="000503FB" w14:paraId="7964D067" w14:textId="77777777">
                        <w:trPr>
                          <w:trHeight w:val="304"/>
                        </w:trPr>
                        <w:tc>
                          <w:tcPr>
                            <w:tcW w:w="6564" w:type="dxa"/>
                          </w:tcPr>
                          <w:p w14:paraId="065EAECE" w14:textId="77777777" w:rsidR="000503FB" w:rsidRDefault="00503F50">
                            <w:pPr>
                              <w:pStyle w:val="TableParagraph"/>
                              <w:spacing w:before="7"/>
                              <w:rPr>
                                <w:sz w:val="24"/>
                              </w:rPr>
                            </w:pPr>
                            <w:r>
                              <w:rPr>
                                <w:sz w:val="24"/>
                              </w:rPr>
                              <w:t>Education &amp; Children’s Services Committee</w:t>
                            </w:r>
                          </w:p>
                        </w:tc>
                      </w:tr>
                      <w:tr w:rsidR="000503FB" w14:paraId="173D9008" w14:textId="77777777">
                        <w:trPr>
                          <w:trHeight w:val="306"/>
                        </w:trPr>
                        <w:tc>
                          <w:tcPr>
                            <w:tcW w:w="6564" w:type="dxa"/>
                          </w:tcPr>
                          <w:p w14:paraId="2B9BE8C5" w14:textId="77777777" w:rsidR="000503FB" w:rsidRDefault="00503F50">
                            <w:pPr>
                              <w:pStyle w:val="TableParagraph"/>
                              <w:rPr>
                                <w:sz w:val="24"/>
                              </w:rPr>
                            </w:pPr>
                            <w:r>
                              <w:rPr>
                                <w:sz w:val="24"/>
                              </w:rPr>
                              <w:t>March 2022</w:t>
                            </w:r>
                          </w:p>
                        </w:tc>
                      </w:tr>
                      <w:tr w:rsidR="000503FB" w14:paraId="229BB7A5" w14:textId="77777777">
                        <w:trPr>
                          <w:trHeight w:val="306"/>
                        </w:trPr>
                        <w:tc>
                          <w:tcPr>
                            <w:tcW w:w="6564" w:type="dxa"/>
                          </w:tcPr>
                          <w:p w14:paraId="2FCB3ACE" w14:textId="77777777" w:rsidR="000503FB" w:rsidRDefault="00503F50">
                            <w:pPr>
                              <w:pStyle w:val="TableParagraph"/>
                              <w:rPr>
                                <w:sz w:val="24"/>
                              </w:rPr>
                            </w:pPr>
                            <w:r>
                              <w:rPr>
                                <w:sz w:val="24"/>
                              </w:rPr>
                              <w:t>March 2025</w:t>
                            </w:r>
                          </w:p>
                        </w:tc>
                      </w:tr>
                    </w:tbl>
                    <w:p w14:paraId="4AE1015E" w14:textId="77777777" w:rsidR="000503FB" w:rsidRDefault="000503FB">
                      <w:pPr>
                        <w:pStyle w:val="BodyText"/>
                      </w:pPr>
                    </w:p>
                  </w:txbxContent>
                </v:textbox>
                <w10:wrap anchorx="page"/>
              </v:shape>
            </w:pict>
          </mc:Fallback>
        </mc:AlternateContent>
      </w:r>
      <w:bookmarkStart w:id="0" w:name="Policy_Status"/>
      <w:bookmarkEnd w:id="0"/>
      <w:r>
        <w:t>Policy Status</w:t>
      </w:r>
    </w:p>
    <w:p w14:paraId="3E5B23BE" w14:textId="77777777" w:rsidR="000503FB" w:rsidRDefault="000503FB">
      <w:pPr>
        <w:pStyle w:val="BodyText"/>
        <w:rPr>
          <w:b/>
          <w:sz w:val="26"/>
        </w:rPr>
      </w:pPr>
    </w:p>
    <w:p w14:paraId="4976FE40" w14:textId="77777777" w:rsidR="000503FB" w:rsidRDefault="00503F50">
      <w:pPr>
        <w:spacing w:before="167" w:line="487" w:lineRule="auto"/>
        <w:ind w:left="341" w:right="7731"/>
        <w:jc w:val="both"/>
        <w:rPr>
          <w:b/>
          <w:sz w:val="24"/>
        </w:rPr>
      </w:pPr>
      <w:r>
        <w:rPr>
          <w:b/>
          <w:sz w:val="24"/>
        </w:rPr>
        <w:t>Responsible Officer Policy Sponsor</w:t>
      </w:r>
    </w:p>
    <w:p w14:paraId="7504A900" w14:textId="77777777" w:rsidR="000503FB" w:rsidRDefault="00503F50">
      <w:pPr>
        <w:spacing w:before="5" w:line="259" w:lineRule="auto"/>
        <w:ind w:left="315" w:right="8373" w:firstLine="26"/>
        <w:jc w:val="both"/>
        <w:rPr>
          <w:b/>
          <w:sz w:val="24"/>
        </w:rPr>
      </w:pPr>
      <w:r>
        <w:rPr>
          <w:b/>
          <w:sz w:val="24"/>
        </w:rPr>
        <w:t>Authorised by Approval Date Review Date</w:t>
      </w:r>
    </w:p>
    <w:p w14:paraId="4ED45757" w14:textId="77777777" w:rsidR="000503FB" w:rsidRDefault="000503FB">
      <w:pPr>
        <w:pStyle w:val="BodyText"/>
        <w:rPr>
          <w:b/>
          <w:sz w:val="26"/>
        </w:rPr>
      </w:pPr>
    </w:p>
    <w:p w14:paraId="432785A3" w14:textId="77777777" w:rsidR="000503FB" w:rsidRDefault="000503FB">
      <w:pPr>
        <w:pStyle w:val="BodyText"/>
        <w:rPr>
          <w:b/>
          <w:sz w:val="26"/>
        </w:rPr>
      </w:pPr>
    </w:p>
    <w:p w14:paraId="5E3EA0AB" w14:textId="77777777" w:rsidR="000503FB" w:rsidRDefault="000503FB">
      <w:pPr>
        <w:pStyle w:val="BodyText"/>
        <w:rPr>
          <w:b/>
          <w:sz w:val="26"/>
        </w:rPr>
      </w:pPr>
    </w:p>
    <w:p w14:paraId="23A6B3E3" w14:textId="77777777" w:rsidR="000503FB" w:rsidRDefault="000503FB">
      <w:pPr>
        <w:pStyle w:val="BodyText"/>
        <w:spacing w:before="7"/>
        <w:rPr>
          <w:b/>
          <w:sz w:val="25"/>
        </w:rPr>
      </w:pPr>
    </w:p>
    <w:p w14:paraId="4D4FD74B" w14:textId="77777777" w:rsidR="000503FB" w:rsidRDefault="00503F50">
      <w:pPr>
        <w:pStyle w:val="ListParagraph"/>
        <w:numPr>
          <w:ilvl w:val="0"/>
          <w:numId w:val="3"/>
        </w:numPr>
        <w:tabs>
          <w:tab w:val="left" w:pos="500"/>
        </w:tabs>
        <w:spacing w:before="0"/>
        <w:rPr>
          <w:b/>
          <w:sz w:val="24"/>
        </w:rPr>
      </w:pPr>
      <w:bookmarkStart w:id="1" w:name="1._Policy_Statement"/>
      <w:bookmarkEnd w:id="1"/>
      <w:r>
        <w:rPr>
          <w:b/>
          <w:sz w:val="24"/>
        </w:rPr>
        <w:t>Policy</w:t>
      </w:r>
      <w:r>
        <w:rPr>
          <w:b/>
          <w:spacing w:val="-2"/>
          <w:sz w:val="24"/>
        </w:rPr>
        <w:t xml:space="preserve"> </w:t>
      </w:r>
      <w:r>
        <w:rPr>
          <w:b/>
          <w:sz w:val="24"/>
        </w:rPr>
        <w:t>Statement</w:t>
      </w:r>
    </w:p>
    <w:p w14:paraId="0B032B32" w14:textId="77777777" w:rsidR="000503FB" w:rsidRDefault="000503FB">
      <w:pPr>
        <w:pStyle w:val="BodyText"/>
        <w:spacing w:before="9"/>
        <w:rPr>
          <w:b/>
          <w:sz w:val="27"/>
        </w:rPr>
      </w:pPr>
    </w:p>
    <w:p w14:paraId="139CD391" w14:textId="77777777" w:rsidR="000503FB" w:rsidRDefault="00503F50">
      <w:pPr>
        <w:pStyle w:val="BodyText"/>
        <w:spacing w:line="249" w:lineRule="auto"/>
        <w:ind w:left="495" w:right="115" w:hanging="10"/>
      </w:pPr>
      <w:r>
        <w:t>The Scottish Government is committed to supporting and promoting Children’s rights under the United Nations Convention on the Rights of the Child. The Education (Additional Support for Learning) (Scotland) Act (2009) requires Authorities to reduce barriers to learning. Aberdeenshire Council is obliged to meet the requirements of The Equality Act (2010) equalities legislation which protects individuals from unfair treatment and promotes a fair and more equal society.</w:t>
      </w:r>
    </w:p>
    <w:p w14:paraId="026D1036" w14:textId="77777777" w:rsidR="000503FB" w:rsidRDefault="000503FB">
      <w:pPr>
        <w:pStyle w:val="BodyText"/>
        <w:spacing w:before="6"/>
        <w:rPr>
          <w:sz w:val="26"/>
        </w:rPr>
      </w:pPr>
    </w:p>
    <w:p w14:paraId="2D139360" w14:textId="77777777" w:rsidR="000503FB" w:rsidRDefault="00503F50">
      <w:pPr>
        <w:pStyle w:val="BodyText"/>
        <w:spacing w:before="1" w:line="249" w:lineRule="auto"/>
        <w:ind w:left="495" w:right="360" w:hanging="10"/>
      </w:pPr>
      <w:r>
        <w:t>This policy has been informed by Respect for All: A National Approach to Anti-Bullying for Scotland’s Children and Young People (2017) and has been shaped by the National ‘Getting It Right for Every Child’ (GIRFEC) framework.</w:t>
      </w:r>
    </w:p>
    <w:p w14:paraId="6309A6B6" w14:textId="77777777" w:rsidR="000503FB" w:rsidRDefault="000503FB">
      <w:pPr>
        <w:pStyle w:val="BodyText"/>
        <w:spacing w:before="10"/>
        <w:rPr>
          <w:sz w:val="25"/>
        </w:rPr>
      </w:pPr>
    </w:p>
    <w:p w14:paraId="044D86FC" w14:textId="77777777" w:rsidR="000503FB" w:rsidRDefault="00503F50">
      <w:pPr>
        <w:pStyle w:val="BodyText"/>
        <w:spacing w:line="249" w:lineRule="auto"/>
        <w:ind w:left="509" w:right="345" w:hanging="10"/>
      </w:pPr>
      <w:r>
        <w:t>This anti-bullying policy replaces previous anti-bullying guidance, policies and procedures adopted by Aberdeenshire Council, and those developed by individual establishments.</w:t>
      </w:r>
    </w:p>
    <w:p w14:paraId="2D40367B" w14:textId="77777777" w:rsidR="000503FB" w:rsidRDefault="000503FB">
      <w:pPr>
        <w:pStyle w:val="BodyText"/>
        <w:spacing w:before="10"/>
        <w:rPr>
          <w:sz w:val="25"/>
        </w:rPr>
      </w:pPr>
    </w:p>
    <w:p w14:paraId="1376EAB9" w14:textId="77777777" w:rsidR="000503FB" w:rsidRDefault="00503F50">
      <w:pPr>
        <w:pStyle w:val="BodyText"/>
        <w:spacing w:line="261" w:lineRule="auto"/>
        <w:ind w:left="485" w:right="306"/>
      </w:pPr>
      <w:r>
        <w:t>In accordance with Scotland’s National Anti-Bullying Service; ‘</w:t>
      </w:r>
      <w:proofErr w:type="spellStart"/>
      <w:r>
        <w:t>Respectme</w:t>
      </w:r>
      <w:proofErr w:type="spellEnd"/>
      <w:r>
        <w:t>’, Aberdeenshire Council Education and Children’s Services define bullying as the following:</w:t>
      </w:r>
    </w:p>
    <w:p w14:paraId="54176D1C" w14:textId="77777777" w:rsidR="000503FB" w:rsidRDefault="00503F50">
      <w:pPr>
        <w:spacing w:line="252" w:lineRule="auto"/>
        <w:ind w:left="485" w:right="319"/>
        <w:rPr>
          <w:sz w:val="24"/>
        </w:rPr>
      </w:pPr>
      <w:r>
        <w:rPr>
          <w:i/>
          <w:sz w:val="24"/>
        </w:rPr>
        <w:t xml:space="preserve">‘Bullying is both behaviour and impact; the impact is on a </w:t>
      </w:r>
      <w:proofErr w:type="spellStart"/>
      <w:proofErr w:type="gramStart"/>
      <w:r>
        <w:rPr>
          <w:i/>
          <w:sz w:val="24"/>
        </w:rPr>
        <w:t>persons</w:t>
      </w:r>
      <w:proofErr w:type="spellEnd"/>
      <w:proofErr w:type="gramEnd"/>
      <w:r>
        <w:rPr>
          <w:i/>
          <w:sz w:val="24"/>
        </w:rPr>
        <w:t xml:space="preserve"> capacity to feel in control of themselves. This is what we term as their sense of ‘agency’. Bullying takes place in the context of relationships; it is behaviour that can make people feel hurt, threatened, </w:t>
      </w:r>
      <w:proofErr w:type="gramStart"/>
      <w:r>
        <w:rPr>
          <w:i/>
          <w:sz w:val="24"/>
        </w:rPr>
        <w:t>frightened</w:t>
      </w:r>
      <w:proofErr w:type="gramEnd"/>
      <w:r>
        <w:rPr>
          <w:i/>
          <w:sz w:val="24"/>
        </w:rPr>
        <w:t xml:space="preserve"> and left out. This behaviour happens face to face and online</w:t>
      </w:r>
      <w:r>
        <w:rPr>
          <w:sz w:val="24"/>
        </w:rPr>
        <w:t>.’ Respect for All: The National Approach to Anti-Bullying for Scotland’s Children and Young People 2017</w:t>
      </w:r>
    </w:p>
    <w:p w14:paraId="21C1A3F7" w14:textId="77777777" w:rsidR="000503FB" w:rsidRDefault="000503FB">
      <w:pPr>
        <w:pStyle w:val="BodyText"/>
        <w:spacing w:before="7"/>
      </w:pPr>
    </w:p>
    <w:p w14:paraId="1CBBF793" w14:textId="77777777" w:rsidR="000503FB" w:rsidRDefault="00503F50">
      <w:pPr>
        <w:pStyle w:val="BodyText"/>
        <w:ind w:left="500"/>
      </w:pPr>
      <w:r>
        <w:t>A further exemplification of bullying from the same document states that bullying behaviour:</w:t>
      </w:r>
    </w:p>
    <w:p w14:paraId="721588C2" w14:textId="77777777" w:rsidR="000503FB" w:rsidRDefault="000503FB">
      <w:pPr>
        <w:sectPr w:rsidR="000503FB">
          <w:type w:val="continuous"/>
          <w:pgSz w:w="11910" w:h="16840"/>
          <w:pgMar w:top="1320" w:right="620" w:bottom="280" w:left="940" w:header="720" w:footer="720" w:gutter="0"/>
          <w:cols w:space="720"/>
        </w:sectPr>
      </w:pPr>
    </w:p>
    <w:p w14:paraId="3F2C69D2" w14:textId="77777777" w:rsidR="000503FB" w:rsidRDefault="00503F50">
      <w:pPr>
        <w:spacing w:before="78" w:line="259" w:lineRule="auto"/>
        <w:ind w:left="500" w:right="317"/>
        <w:rPr>
          <w:i/>
          <w:sz w:val="24"/>
        </w:rPr>
      </w:pPr>
      <w:r>
        <w:rPr>
          <w:i/>
          <w:sz w:val="24"/>
        </w:rPr>
        <w:lastRenderedPageBreak/>
        <w:t>‘</w:t>
      </w:r>
      <w:proofErr w:type="gramStart"/>
      <w:r>
        <w:rPr>
          <w:i/>
          <w:sz w:val="24"/>
        </w:rPr>
        <w:t>can</w:t>
      </w:r>
      <w:proofErr w:type="gramEnd"/>
      <w:r>
        <w:rPr>
          <w:i/>
          <w:sz w:val="24"/>
        </w:rPr>
        <w:t xml:space="preserve"> harm people physically or emotionally and, although the actual behaviour may not be repeated, the threat may be sustained over time, typically by actions, looks, messages, confrontations, physical interventions, or the fear of these.’</w:t>
      </w:r>
    </w:p>
    <w:p w14:paraId="25E47422" w14:textId="77777777" w:rsidR="000503FB" w:rsidRDefault="00503F50">
      <w:pPr>
        <w:pStyle w:val="BodyText"/>
        <w:spacing w:before="3" w:line="249" w:lineRule="auto"/>
        <w:ind w:left="485" w:right="319"/>
      </w:pPr>
      <w:r>
        <w:t>Respect for All: The National Approach to Anti-Bullying for Scotland’s Children and Young People 2017.</w:t>
      </w:r>
    </w:p>
    <w:p w14:paraId="484803D5" w14:textId="77777777" w:rsidR="000503FB" w:rsidRDefault="000503FB">
      <w:pPr>
        <w:pStyle w:val="BodyText"/>
        <w:spacing w:before="10"/>
        <w:rPr>
          <w:sz w:val="26"/>
        </w:rPr>
      </w:pPr>
    </w:p>
    <w:p w14:paraId="0DC7E729" w14:textId="77777777" w:rsidR="000503FB" w:rsidRDefault="00503F50">
      <w:pPr>
        <w:pStyle w:val="BodyText"/>
        <w:spacing w:line="508" w:lineRule="auto"/>
        <w:ind w:left="485" w:right="732"/>
      </w:pPr>
      <w:r>
        <w:t xml:space="preserve">Bullying </w:t>
      </w:r>
      <w:proofErr w:type="gramStart"/>
      <w:r>
        <w:t>is considered to be</w:t>
      </w:r>
      <w:proofErr w:type="gramEnd"/>
      <w:r>
        <w:t xml:space="preserve"> a breach of the UN Convention on the Rights of the Child. Aberdeenshire Council shares the view that:</w:t>
      </w:r>
    </w:p>
    <w:p w14:paraId="48FBCF22" w14:textId="77777777" w:rsidR="000503FB" w:rsidRDefault="00503F50">
      <w:pPr>
        <w:spacing w:line="253" w:lineRule="exact"/>
        <w:ind w:left="500"/>
        <w:rPr>
          <w:i/>
          <w:sz w:val="24"/>
        </w:rPr>
      </w:pPr>
      <w:r>
        <w:rPr>
          <w:i/>
          <w:sz w:val="24"/>
        </w:rPr>
        <w:t>‘Bullying of any kind is unacceptable and must be addressed quickly. Bullying should never</w:t>
      </w:r>
    </w:p>
    <w:p w14:paraId="7F4630E0" w14:textId="77777777" w:rsidR="000503FB" w:rsidRDefault="00503F50">
      <w:pPr>
        <w:ind w:left="509"/>
        <w:rPr>
          <w:i/>
          <w:sz w:val="24"/>
        </w:rPr>
      </w:pPr>
      <w:r>
        <w:rPr>
          <w:i/>
          <w:sz w:val="24"/>
        </w:rPr>
        <w:t>be seen as a typical part of growing up.’</w:t>
      </w:r>
    </w:p>
    <w:p w14:paraId="42CE064C" w14:textId="77777777" w:rsidR="000503FB" w:rsidRDefault="00503F50">
      <w:pPr>
        <w:pStyle w:val="BodyText"/>
        <w:spacing w:before="5"/>
        <w:ind w:left="509" w:right="305" w:hanging="10"/>
      </w:pPr>
      <w:r>
        <w:t>Respect for All: The National Approach to Anti-Bullying for Scotland’s Children and Young People 2017</w:t>
      </w:r>
    </w:p>
    <w:p w14:paraId="74D47470" w14:textId="77777777" w:rsidR="000503FB" w:rsidRDefault="000503FB">
      <w:pPr>
        <w:pStyle w:val="BodyText"/>
        <w:rPr>
          <w:sz w:val="26"/>
        </w:rPr>
      </w:pPr>
    </w:p>
    <w:p w14:paraId="1583DCEF" w14:textId="77777777" w:rsidR="000503FB" w:rsidRDefault="000503FB">
      <w:pPr>
        <w:pStyle w:val="BodyText"/>
        <w:spacing w:before="8"/>
      </w:pPr>
    </w:p>
    <w:p w14:paraId="7EBF7431" w14:textId="77777777" w:rsidR="000503FB" w:rsidRDefault="00503F50">
      <w:pPr>
        <w:pStyle w:val="Heading1"/>
        <w:numPr>
          <w:ilvl w:val="0"/>
          <w:numId w:val="3"/>
        </w:numPr>
        <w:tabs>
          <w:tab w:val="left" w:pos="500"/>
        </w:tabs>
        <w:spacing w:before="1"/>
      </w:pPr>
      <w:bookmarkStart w:id="2" w:name="2._Scope"/>
      <w:bookmarkEnd w:id="2"/>
      <w:r>
        <w:t>Scope</w:t>
      </w:r>
    </w:p>
    <w:p w14:paraId="11D984EC" w14:textId="77777777" w:rsidR="000503FB" w:rsidRDefault="000503FB">
      <w:pPr>
        <w:pStyle w:val="BodyText"/>
        <w:spacing w:before="11"/>
        <w:rPr>
          <w:b/>
          <w:sz w:val="27"/>
        </w:rPr>
      </w:pPr>
    </w:p>
    <w:p w14:paraId="60CD14CB" w14:textId="77777777" w:rsidR="000503FB" w:rsidRDefault="00503F50">
      <w:pPr>
        <w:pStyle w:val="BodyText"/>
        <w:spacing w:line="249" w:lineRule="auto"/>
        <w:ind w:left="495" w:right="202" w:hanging="10"/>
      </w:pPr>
      <w:r>
        <w:t xml:space="preserve">This policy was originally shaped and influenced by the Youth Commission in collaboration with an Advisory Panel. Research conducted identified existing good practice and informative data which was fundamental to the development of this policy. The links to relevant guidance documents can be found in Section 4 which will assist staff in preventing and managing bullying behaviour within educational </w:t>
      </w:r>
      <w:proofErr w:type="gramStart"/>
      <w:r>
        <w:t>establishments</w:t>
      </w:r>
      <w:proofErr w:type="gramEnd"/>
    </w:p>
    <w:p w14:paraId="36A39F64" w14:textId="77777777" w:rsidR="000503FB" w:rsidRDefault="000503FB">
      <w:pPr>
        <w:pStyle w:val="BodyText"/>
        <w:spacing w:before="5"/>
        <w:rPr>
          <w:sz w:val="26"/>
        </w:rPr>
      </w:pPr>
    </w:p>
    <w:p w14:paraId="3E268B88" w14:textId="77777777" w:rsidR="000503FB" w:rsidRDefault="00503F50">
      <w:pPr>
        <w:pStyle w:val="BodyText"/>
        <w:spacing w:before="1" w:line="249" w:lineRule="auto"/>
        <w:ind w:left="495" w:right="115" w:hanging="10"/>
      </w:pPr>
      <w:r>
        <w:t>The scope of this policy extends to all establishments and to all practitioners working within Education. This policy applies to all instances of bullying behaviour within establishments, between learners. This policy applies to all instances of bullying behaviour which impact on a child or young person’s attendance or engagement to their learning or the learning environment.</w:t>
      </w:r>
    </w:p>
    <w:p w14:paraId="67C3AFD4" w14:textId="77777777" w:rsidR="000503FB" w:rsidRDefault="000503FB">
      <w:pPr>
        <w:pStyle w:val="BodyText"/>
        <w:spacing w:before="5"/>
        <w:rPr>
          <w:sz w:val="26"/>
        </w:rPr>
      </w:pPr>
    </w:p>
    <w:p w14:paraId="593D4689" w14:textId="77777777" w:rsidR="000503FB" w:rsidRDefault="00503F50">
      <w:pPr>
        <w:pStyle w:val="BodyText"/>
        <w:spacing w:before="1" w:line="249" w:lineRule="auto"/>
        <w:ind w:left="509" w:right="242" w:hanging="10"/>
      </w:pPr>
      <w:r>
        <w:t>This policy includes, but is not limited to, bullying and harassment on the grounds of Disability, Race, Sexual Orientation, Gender, Gender Reassignment and Religion</w:t>
      </w:r>
      <w:r>
        <w:rPr>
          <w:b/>
        </w:rPr>
        <w:t xml:space="preserve">, </w:t>
      </w:r>
      <w:r>
        <w:t>pregnancy and maternity, marriage and civil partnership and age. It is also recognised that bullying can be prejudiced based. This is where bullying behaviour is motivated by prejudice based on an individual’s actual or perceived identity; it can be based on characteristics unique to a child or young person’s identity or circumstance.</w:t>
      </w:r>
    </w:p>
    <w:p w14:paraId="1EC7CC8A" w14:textId="77777777" w:rsidR="000503FB" w:rsidRDefault="000503FB">
      <w:pPr>
        <w:pStyle w:val="BodyText"/>
        <w:spacing w:before="6"/>
        <w:rPr>
          <w:sz w:val="26"/>
        </w:rPr>
      </w:pPr>
    </w:p>
    <w:p w14:paraId="71FE8AA5" w14:textId="77777777" w:rsidR="000503FB" w:rsidRDefault="00503F50">
      <w:pPr>
        <w:pStyle w:val="Heading1"/>
        <w:numPr>
          <w:ilvl w:val="0"/>
          <w:numId w:val="3"/>
        </w:numPr>
        <w:tabs>
          <w:tab w:val="left" w:pos="500"/>
        </w:tabs>
        <w:spacing w:before="1"/>
      </w:pPr>
      <w:bookmarkStart w:id="3" w:name="3._Principles"/>
      <w:bookmarkEnd w:id="3"/>
      <w:r>
        <w:t>Principles</w:t>
      </w:r>
    </w:p>
    <w:p w14:paraId="4D19C4D7" w14:textId="77777777" w:rsidR="000503FB" w:rsidRDefault="000503FB">
      <w:pPr>
        <w:pStyle w:val="BodyText"/>
        <w:spacing w:before="8"/>
        <w:rPr>
          <w:b/>
          <w:sz w:val="27"/>
        </w:rPr>
      </w:pPr>
    </w:p>
    <w:p w14:paraId="70A15155" w14:textId="77777777" w:rsidR="000503FB" w:rsidRDefault="00503F50">
      <w:pPr>
        <w:pStyle w:val="BodyText"/>
        <w:spacing w:line="249" w:lineRule="auto"/>
        <w:ind w:left="495" w:right="813" w:hanging="10"/>
      </w:pPr>
      <w:r>
        <w:t xml:space="preserve">This policy aims to provide guidance for Education staff, </w:t>
      </w:r>
      <w:proofErr w:type="gramStart"/>
      <w:r>
        <w:t>partners</w:t>
      </w:r>
      <w:proofErr w:type="gramEnd"/>
      <w:r>
        <w:t xml:space="preserve"> and stakeholders in preventing and responding to incidents of bullying behaviour.</w:t>
      </w:r>
    </w:p>
    <w:p w14:paraId="77BA12ED" w14:textId="77777777" w:rsidR="000503FB" w:rsidRDefault="000503FB">
      <w:pPr>
        <w:pStyle w:val="BodyText"/>
        <w:spacing w:before="5"/>
        <w:rPr>
          <w:sz w:val="26"/>
        </w:rPr>
      </w:pPr>
    </w:p>
    <w:p w14:paraId="3875016A" w14:textId="77777777" w:rsidR="000503FB" w:rsidRDefault="00503F50">
      <w:pPr>
        <w:pStyle w:val="BodyText"/>
        <w:spacing w:before="1" w:line="249" w:lineRule="auto"/>
        <w:ind w:left="495" w:hanging="10"/>
      </w:pPr>
      <w:r>
        <w:t>All children and young people have the right to learn in an environment that is free from bullying. In working to provide this, they should be enabled to fully develop the skills and confidence needed for life, work and for learning.</w:t>
      </w:r>
    </w:p>
    <w:p w14:paraId="7BC407F6" w14:textId="77777777" w:rsidR="000503FB" w:rsidRDefault="000503FB">
      <w:pPr>
        <w:pStyle w:val="BodyText"/>
        <w:rPr>
          <w:sz w:val="26"/>
        </w:rPr>
      </w:pPr>
    </w:p>
    <w:p w14:paraId="2A725B02" w14:textId="77777777" w:rsidR="000503FB" w:rsidRDefault="000503FB">
      <w:pPr>
        <w:pStyle w:val="BodyText"/>
        <w:rPr>
          <w:sz w:val="26"/>
        </w:rPr>
      </w:pPr>
    </w:p>
    <w:p w14:paraId="001A3246" w14:textId="77777777" w:rsidR="000503FB" w:rsidRDefault="000503FB">
      <w:pPr>
        <w:pStyle w:val="BodyText"/>
        <w:spacing w:before="7"/>
        <w:rPr>
          <w:sz w:val="25"/>
        </w:rPr>
      </w:pPr>
    </w:p>
    <w:p w14:paraId="0807530B" w14:textId="77777777" w:rsidR="000503FB" w:rsidRDefault="00503F50">
      <w:pPr>
        <w:pStyle w:val="BodyText"/>
        <w:spacing w:before="1"/>
        <w:ind w:left="509" w:right="201" w:hanging="10"/>
      </w:pPr>
      <w:r>
        <w:t>Schools must establish and publish an anti-bullying policy. This anti-bullying policy must reflect six key areas in providing an appropriate and robust approach to the prevention and management of bullying. These are:</w:t>
      </w:r>
    </w:p>
    <w:p w14:paraId="1C097589" w14:textId="77777777" w:rsidR="000503FB" w:rsidRDefault="000503FB">
      <w:pPr>
        <w:sectPr w:rsidR="000503FB">
          <w:pgSz w:w="11910" w:h="16840"/>
          <w:pgMar w:top="900" w:right="620" w:bottom="280" w:left="940" w:header="720" w:footer="720" w:gutter="0"/>
          <w:cols w:space="720"/>
        </w:sectPr>
      </w:pPr>
    </w:p>
    <w:p w14:paraId="31EED4E3" w14:textId="77777777" w:rsidR="000503FB" w:rsidRDefault="00503F50">
      <w:pPr>
        <w:pStyle w:val="ListParagraph"/>
        <w:numPr>
          <w:ilvl w:val="1"/>
          <w:numId w:val="3"/>
        </w:numPr>
        <w:tabs>
          <w:tab w:val="left" w:pos="1205"/>
          <w:tab w:val="left" w:pos="1206"/>
        </w:tabs>
        <w:spacing w:before="75"/>
        <w:ind w:hanging="721"/>
        <w:rPr>
          <w:sz w:val="24"/>
        </w:rPr>
      </w:pPr>
      <w:r>
        <w:rPr>
          <w:sz w:val="24"/>
        </w:rPr>
        <w:lastRenderedPageBreak/>
        <w:t>Stance - Bullying in any form is</w:t>
      </w:r>
      <w:r>
        <w:rPr>
          <w:spacing w:val="-2"/>
          <w:sz w:val="24"/>
        </w:rPr>
        <w:t xml:space="preserve"> </w:t>
      </w:r>
      <w:proofErr w:type="gramStart"/>
      <w:r>
        <w:rPr>
          <w:sz w:val="24"/>
        </w:rPr>
        <w:t>unacceptable</w:t>
      </w:r>
      <w:proofErr w:type="gramEnd"/>
    </w:p>
    <w:p w14:paraId="3269E809" w14:textId="77777777" w:rsidR="000503FB" w:rsidRDefault="00503F50">
      <w:pPr>
        <w:pStyle w:val="ListParagraph"/>
        <w:numPr>
          <w:ilvl w:val="1"/>
          <w:numId w:val="3"/>
        </w:numPr>
        <w:tabs>
          <w:tab w:val="left" w:pos="1205"/>
          <w:tab w:val="left" w:pos="1206"/>
        </w:tabs>
        <w:spacing w:before="17" w:line="249" w:lineRule="auto"/>
        <w:ind w:right="184"/>
        <w:rPr>
          <w:sz w:val="24"/>
        </w:rPr>
      </w:pPr>
      <w:r>
        <w:rPr>
          <w:sz w:val="24"/>
        </w:rPr>
        <w:t xml:space="preserve">Definition -Bullying can be verbal, physical, </w:t>
      </w:r>
      <w:proofErr w:type="gramStart"/>
      <w:r>
        <w:rPr>
          <w:sz w:val="24"/>
        </w:rPr>
        <w:t>emotional</w:t>
      </w:r>
      <w:proofErr w:type="gramEnd"/>
      <w:r>
        <w:rPr>
          <w:sz w:val="24"/>
        </w:rPr>
        <w:t xml:space="preserve"> and cyber. It can be persistent or one</w:t>
      </w:r>
      <w:r>
        <w:rPr>
          <w:spacing w:val="-2"/>
          <w:sz w:val="24"/>
        </w:rPr>
        <w:t xml:space="preserve"> </w:t>
      </w:r>
      <w:proofErr w:type="gramStart"/>
      <w:r>
        <w:rPr>
          <w:sz w:val="24"/>
        </w:rPr>
        <w:t>off</w:t>
      </w:r>
      <w:proofErr w:type="gramEnd"/>
    </w:p>
    <w:p w14:paraId="23F7821E" w14:textId="77777777" w:rsidR="000503FB" w:rsidRDefault="00503F50">
      <w:pPr>
        <w:pStyle w:val="ListParagraph"/>
        <w:numPr>
          <w:ilvl w:val="1"/>
          <w:numId w:val="3"/>
        </w:numPr>
        <w:tabs>
          <w:tab w:val="left" w:pos="1205"/>
          <w:tab w:val="left" w:pos="1206"/>
        </w:tabs>
        <w:spacing w:before="7"/>
        <w:ind w:hanging="721"/>
        <w:rPr>
          <w:sz w:val="24"/>
        </w:rPr>
      </w:pPr>
      <w:r>
        <w:rPr>
          <w:sz w:val="24"/>
        </w:rPr>
        <w:t>Prevention - Work to educate and raise</w:t>
      </w:r>
      <w:r>
        <w:rPr>
          <w:spacing w:val="-1"/>
          <w:sz w:val="24"/>
        </w:rPr>
        <w:t xml:space="preserve"> </w:t>
      </w:r>
      <w:proofErr w:type="gramStart"/>
      <w:r>
        <w:rPr>
          <w:sz w:val="24"/>
        </w:rPr>
        <w:t>awareness</w:t>
      </w:r>
      <w:proofErr w:type="gramEnd"/>
    </w:p>
    <w:p w14:paraId="694776C0" w14:textId="77777777" w:rsidR="000503FB" w:rsidRDefault="00503F50">
      <w:pPr>
        <w:pStyle w:val="ListParagraph"/>
        <w:numPr>
          <w:ilvl w:val="1"/>
          <w:numId w:val="3"/>
        </w:numPr>
        <w:tabs>
          <w:tab w:val="left" w:pos="1205"/>
          <w:tab w:val="left" w:pos="1206"/>
        </w:tabs>
        <w:spacing w:before="14" w:line="254" w:lineRule="auto"/>
        <w:ind w:left="1220" w:right="2321" w:hanging="735"/>
        <w:rPr>
          <w:sz w:val="24"/>
        </w:rPr>
      </w:pPr>
      <w:r>
        <w:rPr>
          <w:sz w:val="24"/>
        </w:rPr>
        <w:t xml:space="preserve">Communication - Communicating efforts to prevent and respond to </w:t>
      </w:r>
      <w:proofErr w:type="gramStart"/>
      <w:r>
        <w:rPr>
          <w:sz w:val="24"/>
        </w:rPr>
        <w:t>incidents</w:t>
      </w:r>
      <w:proofErr w:type="gramEnd"/>
    </w:p>
    <w:p w14:paraId="75A38EA2" w14:textId="77777777" w:rsidR="000503FB" w:rsidRDefault="00503F50">
      <w:pPr>
        <w:pStyle w:val="ListParagraph"/>
        <w:numPr>
          <w:ilvl w:val="1"/>
          <w:numId w:val="3"/>
        </w:numPr>
        <w:tabs>
          <w:tab w:val="left" w:pos="1205"/>
          <w:tab w:val="left" w:pos="1206"/>
        </w:tabs>
        <w:spacing w:before="1"/>
        <w:ind w:hanging="721"/>
        <w:rPr>
          <w:sz w:val="24"/>
        </w:rPr>
      </w:pPr>
      <w:r>
        <w:rPr>
          <w:sz w:val="24"/>
        </w:rPr>
        <w:t>Response – adopt the ‘6 step</w:t>
      </w:r>
      <w:r>
        <w:rPr>
          <w:spacing w:val="-8"/>
          <w:sz w:val="24"/>
        </w:rPr>
        <w:t xml:space="preserve"> </w:t>
      </w:r>
      <w:proofErr w:type="gramStart"/>
      <w:r>
        <w:rPr>
          <w:sz w:val="24"/>
        </w:rPr>
        <w:t>approach’</w:t>
      </w:r>
      <w:proofErr w:type="gramEnd"/>
    </w:p>
    <w:p w14:paraId="1EA3CE25" w14:textId="77777777" w:rsidR="000503FB" w:rsidRDefault="00503F50">
      <w:pPr>
        <w:pStyle w:val="ListParagraph"/>
        <w:numPr>
          <w:ilvl w:val="1"/>
          <w:numId w:val="3"/>
        </w:numPr>
        <w:tabs>
          <w:tab w:val="left" w:pos="1205"/>
          <w:tab w:val="left" w:pos="1206"/>
        </w:tabs>
        <w:spacing w:before="17" w:line="249" w:lineRule="auto"/>
        <w:ind w:right="307"/>
        <w:rPr>
          <w:sz w:val="24"/>
        </w:rPr>
      </w:pPr>
      <w:r>
        <w:rPr>
          <w:sz w:val="24"/>
        </w:rPr>
        <w:t xml:space="preserve">Reporting and Monitoring – The Bullying &amp; Equalities (B&amp;E) module within SEEMIS </w:t>
      </w:r>
      <w:proofErr w:type="spellStart"/>
      <w:r>
        <w:rPr>
          <w:sz w:val="24"/>
        </w:rPr>
        <w:t>Click+Go</w:t>
      </w:r>
      <w:proofErr w:type="spellEnd"/>
      <w:r>
        <w:rPr>
          <w:sz w:val="24"/>
        </w:rPr>
        <w:t xml:space="preserve"> should be used to record incidents of bullying in</w:t>
      </w:r>
      <w:r>
        <w:rPr>
          <w:spacing w:val="-8"/>
          <w:sz w:val="24"/>
        </w:rPr>
        <w:t xml:space="preserve"> </w:t>
      </w:r>
      <w:r>
        <w:rPr>
          <w:sz w:val="24"/>
        </w:rPr>
        <w:t>schools:</w:t>
      </w:r>
    </w:p>
    <w:p w14:paraId="0D282D7F" w14:textId="77777777" w:rsidR="000503FB" w:rsidRDefault="000503FB">
      <w:pPr>
        <w:pStyle w:val="BodyText"/>
        <w:rPr>
          <w:sz w:val="26"/>
        </w:rPr>
      </w:pPr>
    </w:p>
    <w:p w14:paraId="5966229F" w14:textId="77777777" w:rsidR="000503FB" w:rsidRDefault="000503FB">
      <w:pPr>
        <w:pStyle w:val="BodyText"/>
        <w:spacing w:before="10"/>
        <w:rPr>
          <w:sz w:val="25"/>
        </w:rPr>
      </w:pPr>
    </w:p>
    <w:p w14:paraId="3E4B2486" w14:textId="77777777" w:rsidR="000503FB" w:rsidRDefault="00503F50">
      <w:pPr>
        <w:pStyle w:val="Heading1"/>
        <w:numPr>
          <w:ilvl w:val="0"/>
          <w:numId w:val="3"/>
        </w:numPr>
        <w:tabs>
          <w:tab w:val="left" w:pos="500"/>
        </w:tabs>
        <w:ind w:hanging="361"/>
      </w:pPr>
      <w:bookmarkStart w:id="4" w:name="4._Related_Links"/>
      <w:bookmarkEnd w:id="4"/>
      <w:r>
        <w:t>Related</w:t>
      </w:r>
      <w:r>
        <w:rPr>
          <w:spacing w:val="-1"/>
        </w:rPr>
        <w:t xml:space="preserve"> </w:t>
      </w:r>
      <w:r>
        <w:t>Links</w:t>
      </w:r>
    </w:p>
    <w:p w14:paraId="63C4FEB2" w14:textId="77777777" w:rsidR="000503FB" w:rsidRDefault="000503FB">
      <w:pPr>
        <w:pStyle w:val="BodyText"/>
        <w:spacing w:before="9"/>
        <w:rPr>
          <w:b/>
          <w:sz w:val="27"/>
        </w:rPr>
      </w:pPr>
    </w:p>
    <w:p w14:paraId="176BE096" w14:textId="3C443643" w:rsidR="000503FB" w:rsidRDefault="00503F50">
      <w:pPr>
        <w:pStyle w:val="ListParagraph"/>
        <w:numPr>
          <w:ilvl w:val="0"/>
          <w:numId w:val="2"/>
        </w:numPr>
        <w:tabs>
          <w:tab w:val="left" w:pos="1276"/>
        </w:tabs>
        <w:spacing w:before="0" w:line="249" w:lineRule="auto"/>
        <w:ind w:right="367"/>
        <w:rPr>
          <w:sz w:val="24"/>
        </w:rPr>
      </w:pPr>
      <w:r>
        <w:rPr>
          <w:sz w:val="24"/>
        </w:rPr>
        <w:t>This should be read in conjunction with the</w:t>
      </w:r>
      <w:r>
        <w:rPr>
          <w:color w:val="0000FF"/>
          <w:sz w:val="24"/>
        </w:rPr>
        <w:t xml:space="preserve"> </w:t>
      </w:r>
      <w:hyperlink r:id="rId6">
        <w:r>
          <w:rPr>
            <w:color w:val="0000FF"/>
            <w:sz w:val="24"/>
            <w:u w:val="single" w:color="0000FF"/>
          </w:rPr>
          <w:t>Aberdeenshire Anti-bullying Guidance:</w:t>
        </w:r>
      </w:hyperlink>
      <w:hyperlink r:id="rId7">
        <w:r>
          <w:rPr>
            <w:color w:val="0000FF"/>
            <w:sz w:val="24"/>
            <w:u w:val="single" w:color="0000FF"/>
          </w:rPr>
          <w:t xml:space="preserve"> Bullying Prevention and Management in Educational Establishments</w:t>
        </w:r>
        <w:r>
          <w:rPr>
            <w:color w:val="0000FF"/>
            <w:spacing w:val="-12"/>
            <w:sz w:val="24"/>
            <w:u w:val="single" w:color="0000FF"/>
          </w:rPr>
          <w:t xml:space="preserve"> </w:t>
        </w:r>
        <w:r w:rsidR="007E2233">
          <w:rPr>
            <w:color w:val="0000FF"/>
            <w:spacing w:val="-12"/>
            <w:sz w:val="24"/>
            <w:u w:val="single" w:color="0000FF"/>
          </w:rPr>
          <w:t xml:space="preserve">April </w:t>
        </w:r>
        <w:r>
          <w:rPr>
            <w:color w:val="0000FF"/>
            <w:sz w:val="24"/>
            <w:u w:val="single" w:color="0000FF"/>
          </w:rPr>
          <w:t>202</w:t>
        </w:r>
        <w:r w:rsidR="007E2233">
          <w:rPr>
            <w:color w:val="0000FF"/>
            <w:sz w:val="24"/>
            <w:u w:val="single" w:color="0000FF"/>
          </w:rPr>
          <w:t>4</w:t>
        </w:r>
      </w:hyperlink>
    </w:p>
    <w:p w14:paraId="20939FE1" w14:textId="77777777" w:rsidR="000503FB" w:rsidRDefault="000503FB">
      <w:pPr>
        <w:pStyle w:val="BodyText"/>
        <w:spacing w:before="10"/>
        <w:rPr>
          <w:sz w:val="17"/>
        </w:rPr>
      </w:pPr>
    </w:p>
    <w:p w14:paraId="5A6935DB" w14:textId="77777777" w:rsidR="000503FB" w:rsidRDefault="007E2233">
      <w:pPr>
        <w:pStyle w:val="ListParagraph"/>
        <w:numPr>
          <w:ilvl w:val="0"/>
          <w:numId w:val="2"/>
        </w:numPr>
        <w:tabs>
          <w:tab w:val="left" w:pos="1276"/>
        </w:tabs>
        <w:ind w:hanging="361"/>
        <w:rPr>
          <w:sz w:val="24"/>
        </w:rPr>
      </w:pPr>
      <w:hyperlink r:id="rId8">
        <w:r w:rsidR="00503F50">
          <w:rPr>
            <w:color w:val="0000FF"/>
            <w:sz w:val="24"/>
            <w:u w:val="single" w:color="0000FF"/>
          </w:rPr>
          <w:t>Respect for All: national approach to anti-bullying - gov.scot</w:t>
        </w:r>
        <w:r w:rsidR="00503F50">
          <w:rPr>
            <w:color w:val="0000FF"/>
            <w:spacing w:val="-17"/>
            <w:sz w:val="24"/>
            <w:u w:val="single" w:color="0000FF"/>
          </w:rPr>
          <w:t xml:space="preserve"> </w:t>
        </w:r>
        <w:r w:rsidR="00503F50">
          <w:rPr>
            <w:color w:val="0000FF"/>
            <w:sz w:val="24"/>
            <w:u w:val="single" w:color="0000FF"/>
          </w:rPr>
          <w:t>(www.gov.scot)</w:t>
        </w:r>
      </w:hyperlink>
    </w:p>
    <w:p w14:paraId="1143F877" w14:textId="77777777" w:rsidR="000503FB" w:rsidRDefault="000503FB">
      <w:pPr>
        <w:pStyle w:val="BodyText"/>
        <w:spacing w:before="10"/>
        <w:rPr>
          <w:sz w:val="18"/>
        </w:rPr>
      </w:pPr>
    </w:p>
    <w:p w14:paraId="779FA1E7" w14:textId="77777777" w:rsidR="000503FB" w:rsidRDefault="00503F50">
      <w:pPr>
        <w:pStyle w:val="ListParagraph"/>
        <w:numPr>
          <w:ilvl w:val="0"/>
          <w:numId w:val="2"/>
        </w:numPr>
        <w:tabs>
          <w:tab w:val="left" w:pos="1276"/>
        </w:tabs>
        <w:spacing w:before="93"/>
        <w:ind w:hanging="361"/>
        <w:rPr>
          <w:sz w:val="24"/>
        </w:rPr>
      </w:pPr>
      <w:r>
        <w:rPr>
          <w:sz w:val="24"/>
        </w:rPr>
        <w:t>Included Engaged Involved Part 2:</w:t>
      </w:r>
    </w:p>
    <w:p w14:paraId="42130F5B" w14:textId="77777777" w:rsidR="000503FB" w:rsidRDefault="007E2233">
      <w:pPr>
        <w:pStyle w:val="BodyText"/>
        <w:spacing w:before="16" w:line="249" w:lineRule="auto"/>
        <w:ind w:left="1220" w:right="103"/>
      </w:pPr>
      <w:hyperlink r:id="rId9">
        <w:r w:rsidR="00503F50">
          <w:rPr>
            <w:color w:val="0000FF"/>
            <w:u w:val="single" w:color="0000FF"/>
          </w:rPr>
          <w:t>Included, engaged and involved part 2: preventing and managing school exclusions -</w:t>
        </w:r>
      </w:hyperlink>
      <w:r w:rsidR="00503F50">
        <w:rPr>
          <w:color w:val="0000FF"/>
        </w:rPr>
        <w:t xml:space="preserve"> </w:t>
      </w:r>
      <w:hyperlink r:id="rId10">
        <w:r w:rsidR="00503F50">
          <w:rPr>
            <w:color w:val="0000FF"/>
            <w:u w:val="single" w:color="0000FF"/>
          </w:rPr>
          <w:t>gov.scot (www.gov.scot)</w:t>
        </w:r>
      </w:hyperlink>
    </w:p>
    <w:p w14:paraId="7040FA63" w14:textId="77777777" w:rsidR="000503FB" w:rsidRDefault="000503FB">
      <w:pPr>
        <w:pStyle w:val="BodyText"/>
        <w:spacing w:before="10"/>
        <w:rPr>
          <w:sz w:val="17"/>
        </w:rPr>
      </w:pPr>
    </w:p>
    <w:p w14:paraId="07D28A20" w14:textId="20AC3E75" w:rsidR="000503FB" w:rsidRDefault="00503F50">
      <w:pPr>
        <w:pStyle w:val="ListParagraph"/>
        <w:numPr>
          <w:ilvl w:val="0"/>
          <w:numId w:val="2"/>
        </w:numPr>
        <w:tabs>
          <w:tab w:val="left" w:pos="1276"/>
        </w:tabs>
        <w:ind w:left="1198" w:right="900" w:hanging="284"/>
        <w:rPr>
          <w:sz w:val="24"/>
        </w:rPr>
      </w:pPr>
      <w:r>
        <w:tab/>
      </w:r>
      <w:r>
        <w:rPr>
          <w:sz w:val="24"/>
        </w:rPr>
        <w:t>Bullying &amp; Equalities:</w:t>
      </w:r>
      <w:r>
        <w:rPr>
          <w:color w:val="0000FF"/>
          <w:sz w:val="24"/>
        </w:rPr>
        <w:t xml:space="preserve"> </w:t>
      </w:r>
      <w:hyperlink r:id="rId11" w:history="1">
        <w:r w:rsidRPr="00503F50">
          <w:rPr>
            <w:rStyle w:val="Hyperlink"/>
            <w:sz w:val="24"/>
          </w:rPr>
          <w:t>Recording and Monitoring Bullying Incidents in Schools (RAMBIS)- Aberdeenshire Bullying and Equalities Reporting</w:t>
        </w:r>
        <w:r w:rsidRPr="00503F50">
          <w:rPr>
            <w:rStyle w:val="Hyperlink"/>
            <w:spacing w:val="-11"/>
            <w:sz w:val="24"/>
          </w:rPr>
          <w:t xml:space="preserve"> </w:t>
        </w:r>
        <w:r w:rsidRPr="00503F50">
          <w:rPr>
            <w:rStyle w:val="Hyperlink"/>
            <w:sz w:val="24"/>
          </w:rPr>
          <w:t>Guidance</w:t>
        </w:r>
      </w:hyperlink>
    </w:p>
    <w:p w14:paraId="33099F4E" w14:textId="77777777" w:rsidR="000503FB" w:rsidRDefault="000503FB">
      <w:pPr>
        <w:pStyle w:val="BodyText"/>
        <w:spacing w:before="5"/>
        <w:rPr>
          <w:sz w:val="17"/>
        </w:rPr>
      </w:pPr>
    </w:p>
    <w:p w14:paraId="13313739" w14:textId="77777777" w:rsidR="000503FB" w:rsidRDefault="007E2233">
      <w:pPr>
        <w:pStyle w:val="ListParagraph"/>
        <w:numPr>
          <w:ilvl w:val="0"/>
          <w:numId w:val="2"/>
        </w:numPr>
        <w:tabs>
          <w:tab w:val="left" w:pos="1276"/>
        </w:tabs>
        <w:ind w:right="380"/>
        <w:rPr>
          <w:sz w:val="24"/>
        </w:rPr>
      </w:pPr>
      <w:hyperlink r:id="rId12">
        <w:r w:rsidR="00503F50">
          <w:rPr>
            <w:color w:val="0000FF"/>
            <w:sz w:val="24"/>
            <w:u w:val="single" w:color="0000FF"/>
          </w:rPr>
          <w:t>Supporting Transgender Young People in Scottish Schools: Guidance for Scottish</w:t>
        </w:r>
      </w:hyperlink>
      <w:hyperlink r:id="rId13">
        <w:r w:rsidR="00503F50">
          <w:rPr>
            <w:color w:val="0000FF"/>
            <w:sz w:val="24"/>
            <w:u w:val="single" w:color="0000FF"/>
          </w:rPr>
          <w:t xml:space="preserve"> Schools</w:t>
        </w:r>
      </w:hyperlink>
    </w:p>
    <w:p w14:paraId="62204EE9" w14:textId="77777777" w:rsidR="000503FB" w:rsidRDefault="000503FB">
      <w:pPr>
        <w:pStyle w:val="BodyText"/>
        <w:rPr>
          <w:sz w:val="16"/>
        </w:rPr>
      </w:pPr>
    </w:p>
    <w:p w14:paraId="0C802C3F" w14:textId="77777777" w:rsidR="000503FB" w:rsidRDefault="00503F50">
      <w:pPr>
        <w:pStyle w:val="ListParagraph"/>
        <w:numPr>
          <w:ilvl w:val="0"/>
          <w:numId w:val="2"/>
        </w:numPr>
        <w:tabs>
          <w:tab w:val="left" w:pos="1276"/>
        </w:tabs>
        <w:ind w:left="1220" w:right="3530" w:hanging="305"/>
        <w:rPr>
          <w:sz w:val="24"/>
        </w:rPr>
      </w:pPr>
      <w:r>
        <w:tab/>
      </w:r>
      <w:r>
        <w:rPr>
          <w:sz w:val="24"/>
        </w:rPr>
        <w:t>Anti-bullying training opportunities can be viewed at:</w:t>
      </w:r>
      <w:hyperlink r:id="rId14">
        <w:r>
          <w:rPr>
            <w:color w:val="0000FF"/>
            <w:sz w:val="24"/>
            <w:u w:val="single" w:color="0000FF"/>
          </w:rPr>
          <w:t xml:space="preserve"> </w:t>
        </w:r>
        <w:proofErr w:type="spellStart"/>
        <w:r>
          <w:rPr>
            <w:color w:val="0000FF"/>
            <w:sz w:val="24"/>
            <w:u w:val="single" w:color="0000FF"/>
          </w:rPr>
          <w:t>respectme</w:t>
        </w:r>
        <w:proofErr w:type="spellEnd"/>
        <w:r>
          <w:rPr>
            <w:color w:val="0000FF"/>
            <w:sz w:val="24"/>
            <w:u w:val="single" w:color="0000FF"/>
          </w:rPr>
          <w:t xml:space="preserve"> Training</w:t>
        </w:r>
        <w:r>
          <w:rPr>
            <w:color w:val="0000FF"/>
            <w:spacing w:val="-2"/>
            <w:sz w:val="24"/>
            <w:u w:val="single" w:color="0000FF"/>
          </w:rPr>
          <w:t xml:space="preserve"> </w:t>
        </w:r>
        <w:proofErr w:type="spellStart"/>
        <w:r>
          <w:rPr>
            <w:color w:val="0000FF"/>
            <w:sz w:val="24"/>
            <w:u w:val="single" w:color="0000FF"/>
          </w:rPr>
          <w:t>Workshopsrespectme</w:t>
        </w:r>
        <w:proofErr w:type="spellEnd"/>
      </w:hyperlink>
    </w:p>
    <w:p w14:paraId="2C2E1A12" w14:textId="77777777" w:rsidR="000503FB" w:rsidRDefault="000503FB">
      <w:pPr>
        <w:pStyle w:val="BodyText"/>
        <w:rPr>
          <w:sz w:val="20"/>
        </w:rPr>
      </w:pPr>
    </w:p>
    <w:p w14:paraId="7FAAEC51" w14:textId="77777777" w:rsidR="000503FB" w:rsidRDefault="000503FB">
      <w:pPr>
        <w:pStyle w:val="BodyText"/>
        <w:rPr>
          <w:sz w:val="20"/>
        </w:rPr>
      </w:pPr>
    </w:p>
    <w:p w14:paraId="5B38E014" w14:textId="77777777" w:rsidR="000503FB" w:rsidRDefault="000503FB">
      <w:pPr>
        <w:pStyle w:val="BodyText"/>
        <w:rPr>
          <w:sz w:val="20"/>
        </w:rPr>
      </w:pPr>
    </w:p>
    <w:p w14:paraId="2FF93476" w14:textId="77777777" w:rsidR="000503FB" w:rsidRDefault="000503FB">
      <w:pPr>
        <w:pStyle w:val="BodyText"/>
        <w:rPr>
          <w:sz w:val="20"/>
        </w:rPr>
      </w:pPr>
    </w:p>
    <w:p w14:paraId="065E5A81" w14:textId="77777777" w:rsidR="000503FB" w:rsidRDefault="000503FB">
      <w:pPr>
        <w:pStyle w:val="BodyText"/>
        <w:rPr>
          <w:sz w:val="20"/>
        </w:rPr>
      </w:pPr>
    </w:p>
    <w:p w14:paraId="6CC2ACD9" w14:textId="77777777" w:rsidR="000503FB" w:rsidRDefault="000503FB">
      <w:pPr>
        <w:pStyle w:val="BodyText"/>
        <w:rPr>
          <w:sz w:val="20"/>
        </w:rPr>
      </w:pPr>
    </w:p>
    <w:p w14:paraId="036E048F" w14:textId="77777777" w:rsidR="000503FB" w:rsidRDefault="000503FB">
      <w:pPr>
        <w:pStyle w:val="BodyText"/>
        <w:rPr>
          <w:sz w:val="20"/>
        </w:rPr>
      </w:pPr>
    </w:p>
    <w:p w14:paraId="2EB1A204" w14:textId="77777777" w:rsidR="000503FB" w:rsidRDefault="000503FB">
      <w:pPr>
        <w:pStyle w:val="BodyText"/>
        <w:rPr>
          <w:sz w:val="20"/>
        </w:rPr>
      </w:pPr>
    </w:p>
    <w:p w14:paraId="6FA1328A" w14:textId="77777777" w:rsidR="000503FB" w:rsidRDefault="000503FB">
      <w:pPr>
        <w:pStyle w:val="BodyText"/>
        <w:rPr>
          <w:sz w:val="20"/>
        </w:rPr>
      </w:pPr>
    </w:p>
    <w:p w14:paraId="161CD617" w14:textId="77777777" w:rsidR="000503FB" w:rsidRDefault="000503FB">
      <w:pPr>
        <w:pStyle w:val="BodyText"/>
        <w:rPr>
          <w:sz w:val="20"/>
        </w:rPr>
      </w:pPr>
    </w:p>
    <w:p w14:paraId="6B4DF0DE" w14:textId="77777777" w:rsidR="000503FB" w:rsidRDefault="000503FB">
      <w:pPr>
        <w:pStyle w:val="BodyText"/>
        <w:rPr>
          <w:sz w:val="20"/>
        </w:rPr>
      </w:pPr>
    </w:p>
    <w:p w14:paraId="281E5D8D" w14:textId="77777777" w:rsidR="000503FB" w:rsidRDefault="000503FB">
      <w:pPr>
        <w:pStyle w:val="BodyText"/>
        <w:rPr>
          <w:sz w:val="20"/>
        </w:rPr>
      </w:pPr>
    </w:p>
    <w:p w14:paraId="2FF7A917" w14:textId="77777777" w:rsidR="000503FB" w:rsidRDefault="000503FB">
      <w:pPr>
        <w:pStyle w:val="BodyText"/>
        <w:rPr>
          <w:sz w:val="20"/>
        </w:rPr>
      </w:pPr>
    </w:p>
    <w:p w14:paraId="4B1E9A0B" w14:textId="77777777" w:rsidR="000503FB" w:rsidRDefault="000503FB">
      <w:pPr>
        <w:pStyle w:val="BodyText"/>
        <w:rPr>
          <w:sz w:val="20"/>
        </w:rPr>
      </w:pPr>
    </w:p>
    <w:p w14:paraId="700864CC" w14:textId="77777777" w:rsidR="000503FB" w:rsidRDefault="000503FB">
      <w:pPr>
        <w:pStyle w:val="BodyText"/>
        <w:rPr>
          <w:sz w:val="20"/>
        </w:rPr>
      </w:pPr>
    </w:p>
    <w:p w14:paraId="0D0FC6EC" w14:textId="77777777" w:rsidR="000503FB" w:rsidRDefault="000503FB">
      <w:pPr>
        <w:pStyle w:val="BodyText"/>
        <w:rPr>
          <w:sz w:val="20"/>
        </w:rPr>
      </w:pPr>
    </w:p>
    <w:p w14:paraId="314EF2EC" w14:textId="77777777" w:rsidR="000503FB" w:rsidRDefault="000503FB">
      <w:pPr>
        <w:pStyle w:val="BodyText"/>
        <w:rPr>
          <w:sz w:val="20"/>
        </w:rPr>
      </w:pPr>
    </w:p>
    <w:p w14:paraId="3CCA2180" w14:textId="77777777" w:rsidR="000503FB" w:rsidRDefault="000503FB">
      <w:pPr>
        <w:pStyle w:val="BodyText"/>
        <w:rPr>
          <w:sz w:val="20"/>
        </w:rPr>
      </w:pPr>
    </w:p>
    <w:p w14:paraId="3173F634" w14:textId="77777777" w:rsidR="000503FB" w:rsidRDefault="000503FB">
      <w:pPr>
        <w:pStyle w:val="BodyText"/>
        <w:rPr>
          <w:sz w:val="20"/>
        </w:rPr>
      </w:pPr>
    </w:p>
    <w:p w14:paraId="48B90667" w14:textId="77777777" w:rsidR="000503FB" w:rsidRDefault="000503FB">
      <w:pPr>
        <w:pStyle w:val="BodyText"/>
        <w:rPr>
          <w:sz w:val="20"/>
        </w:rPr>
      </w:pPr>
    </w:p>
    <w:p w14:paraId="7D376B44" w14:textId="77777777" w:rsidR="000503FB" w:rsidRDefault="000503FB">
      <w:pPr>
        <w:pStyle w:val="BodyText"/>
        <w:rPr>
          <w:sz w:val="20"/>
        </w:rPr>
      </w:pPr>
    </w:p>
    <w:p w14:paraId="521B0557" w14:textId="77777777" w:rsidR="000503FB" w:rsidRDefault="00503F50">
      <w:pPr>
        <w:pStyle w:val="Heading1"/>
        <w:numPr>
          <w:ilvl w:val="0"/>
          <w:numId w:val="1"/>
        </w:numPr>
        <w:tabs>
          <w:tab w:val="left" w:pos="383"/>
        </w:tabs>
        <w:spacing w:before="213"/>
        <w:ind w:hanging="268"/>
      </w:pPr>
      <w:r>
        <w:t>Index of</w:t>
      </w:r>
      <w:r>
        <w:rPr>
          <w:spacing w:val="-1"/>
        </w:rPr>
        <w:t xml:space="preserve"> </w:t>
      </w:r>
      <w:r>
        <w:t>Documents</w:t>
      </w:r>
    </w:p>
    <w:p w14:paraId="71A8BB56" w14:textId="77777777" w:rsidR="000503FB" w:rsidRDefault="000503FB">
      <w:pPr>
        <w:pStyle w:val="BodyText"/>
        <w:spacing w:before="9"/>
        <w:rPr>
          <w:b/>
          <w:sz w:val="27"/>
        </w:rPr>
      </w:pPr>
    </w:p>
    <w:p w14:paraId="7127BF2F" w14:textId="77777777" w:rsidR="000503FB" w:rsidRDefault="00503F50">
      <w:pPr>
        <w:pStyle w:val="ListParagraph"/>
        <w:numPr>
          <w:ilvl w:val="1"/>
          <w:numId w:val="1"/>
        </w:numPr>
        <w:tabs>
          <w:tab w:val="left" w:pos="767"/>
        </w:tabs>
        <w:spacing w:before="0"/>
        <w:ind w:hanging="282"/>
        <w:rPr>
          <w:sz w:val="24"/>
        </w:rPr>
      </w:pPr>
      <w:r>
        <w:rPr>
          <w:sz w:val="24"/>
        </w:rPr>
        <w:t>Policy</w:t>
      </w:r>
    </w:p>
    <w:p w14:paraId="1CDE727A" w14:textId="77777777" w:rsidR="000503FB" w:rsidRDefault="000503FB">
      <w:pPr>
        <w:rPr>
          <w:sz w:val="24"/>
        </w:rPr>
        <w:sectPr w:rsidR="000503FB">
          <w:pgSz w:w="11910" w:h="16840"/>
          <w:pgMar w:top="1200" w:right="620" w:bottom="280" w:left="940" w:header="720" w:footer="720" w:gutter="0"/>
          <w:cols w:space="720"/>
        </w:sect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22"/>
        <w:gridCol w:w="4008"/>
      </w:tblGrid>
      <w:tr w:rsidR="000503FB" w14:paraId="4885B65E" w14:textId="77777777">
        <w:trPr>
          <w:trHeight w:val="604"/>
        </w:trPr>
        <w:tc>
          <w:tcPr>
            <w:tcW w:w="2520" w:type="dxa"/>
          </w:tcPr>
          <w:p w14:paraId="1CDA644D" w14:textId="77777777" w:rsidR="000503FB" w:rsidRDefault="00503F50">
            <w:pPr>
              <w:pStyle w:val="TableParagraph"/>
              <w:spacing w:before="5"/>
              <w:ind w:left="112"/>
              <w:rPr>
                <w:sz w:val="24"/>
              </w:rPr>
            </w:pPr>
            <w:r>
              <w:rPr>
                <w:sz w:val="24"/>
              </w:rPr>
              <w:lastRenderedPageBreak/>
              <w:t>Revision Date</w:t>
            </w:r>
          </w:p>
        </w:tc>
        <w:tc>
          <w:tcPr>
            <w:tcW w:w="2522" w:type="dxa"/>
          </w:tcPr>
          <w:p w14:paraId="0146975F" w14:textId="77777777" w:rsidR="000503FB" w:rsidRDefault="00503F50">
            <w:pPr>
              <w:pStyle w:val="TableParagraph"/>
              <w:spacing w:before="5"/>
              <w:ind w:left="112"/>
              <w:rPr>
                <w:sz w:val="24"/>
              </w:rPr>
            </w:pPr>
            <w:r>
              <w:rPr>
                <w:sz w:val="24"/>
              </w:rPr>
              <w:t>Previous Revision</w:t>
            </w:r>
          </w:p>
          <w:p w14:paraId="0C29D03C" w14:textId="77777777" w:rsidR="000503FB" w:rsidRDefault="00503F50">
            <w:pPr>
              <w:pStyle w:val="TableParagraph"/>
              <w:spacing w:before="21"/>
              <w:ind w:left="112"/>
              <w:rPr>
                <w:sz w:val="24"/>
              </w:rPr>
            </w:pPr>
            <w:r>
              <w:rPr>
                <w:sz w:val="24"/>
              </w:rPr>
              <w:t>Date</w:t>
            </w:r>
          </w:p>
        </w:tc>
        <w:tc>
          <w:tcPr>
            <w:tcW w:w="4008" w:type="dxa"/>
          </w:tcPr>
          <w:p w14:paraId="3B265488" w14:textId="77777777" w:rsidR="000503FB" w:rsidRDefault="00503F50">
            <w:pPr>
              <w:pStyle w:val="TableParagraph"/>
              <w:spacing w:before="5"/>
              <w:ind w:left="113"/>
              <w:rPr>
                <w:sz w:val="24"/>
              </w:rPr>
            </w:pPr>
            <w:r>
              <w:rPr>
                <w:sz w:val="24"/>
              </w:rPr>
              <w:t>Summary of Changes</w:t>
            </w:r>
          </w:p>
        </w:tc>
      </w:tr>
      <w:tr w:rsidR="000503FB" w14:paraId="356CB99A" w14:textId="77777777">
        <w:trPr>
          <w:trHeight w:val="3585"/>
        </w:trPr>
        <w:tc>
          <w:tcPr>
            <w:tcW w:w="2520" w:type="dxa"/>
          </w:tcPr>
          <w:p w14:paraId="4CB204EC" w14:textId="77777777" w:rsidR="000503FB" w:rsidRDefault="00503F50">
            <w:pPr>
              <w:pStyle w:val="TableParagraph"/>
              <w:spacing w:before="2"/>
              <w:ind w:left="112"/>
              <w:rPr>
                <w:sz w:val="24"/>
              </w:rPr>
            </w:pPr>
            <w:r>
              <w:rPr>
                <w:sz w:val="24"/>
              </w:rPr>
              <w:t>February 2022</w:t>
            </w:r>
          </w:p>
        </w:tc>
        <w:tc>
          <w:tcPr>
            <w:tcW w:w="2522" w:type="dxa"/>
          </w:tcPr>
          <w:p w14:paraId="6473A43B" w14:textId="77777777" w:rsidR="000503FB" w:rsidRDefault="00503F50">
            <w:pPr>
              <w:pStyle w:val="TableParagraph"/>
              <w:spacing w:before="2"/>
              <w:ind w:left="112"/>
              <w:rPr>
                <w:sz w:val="24"/>
              </w:rPr>
            </w:pPr>
            <w:r>
              <w:rPr>
                <w:sz w:val="24"/>
              </w:rPr>
              <w:t>2018</w:t>
            </w:r>
          </w:p>
        </w:tc>
        <w:tc>
          <w:tcPr>
            <w:tcW w:w="4008" w:type="dxa"/>
          </w:tcPr>
          <w:p w14:paraId="437044C0" w14:textId="77777777" w:rsidR="000503FB" w:rsidRDefault="00503F50">
            <w:pPr>
              <w:pStyle w:val="TableParagraph"/>
              <w:spacing w:before="2" w:line="259" w:lineRule="auto"/>
              <w:ind w:left="113" w:right="636"/>
              <w:rPr>
                <w:sz w:val="24"/>
              </w:rPr>
            </w:pPr>
            <w:r>
              <w:rPr>
                <w:sz w:val="24"/>
              </w:rPr>
              <w:t>Definition of Bullying has been amended in line with National guidance.</w:t>
            </w:r>
          </w:p>
          <w:p w14:paraId="450A4102" w14:textId="77777777" w:rsidR="000503FB" w:rsidRDefault="00503F50">
            <w:pPr>
              <w:pStyle w:val="TableParagraph"/>
              <w:spacing w:before="1" w:line="259" w:lineRule="auto"/>
              <w:ind w:left="125" w:right="94" w:hanging="12"/>
              <w:rPr>
                <w:sz w:val="24"/>
              </w:rPr>
            </w:pPr>
            <w:r>
              <w:rPr>
                <w:sz w:val="24"/>
              </w:rPr>
              <w:t>Reporting and Monitoring procedure for Aberdeenshire has been added. Reference to Transgender related bullying; in accordance with National Guidance on Supporting Transgender Young People in Scottish schools 2021 was also</w:t>
            </w:r>
            <w:r>
              <w:rPr>
                <w:spacing w:val="-2"/>
                <w:sz w:val="24"/>
              </w:rPr>
              <w:t xml:space="preserve"> </w:t>
            </w:r>
            <w:r>
              <w:rPr>
                <w:sz w:val="24"/>
              </w:rPr>
              <w:t>added.</w:t>
            </w:r>
          </w:p>
        </w:tc>
      </w:tr>
    </w:tbl>
    <w:p w14:paraId="2719148D" w14:textId="77777777" w:rsidR="000503FB" w:rsidRDefault="000503FB">
      <w:pPr>
        <w:pStyle w:val="BodyText"/>
        <w:rPr>
          <w:sz w:val="16"/>
        </w:rPr>
      </w:pPr>
    </w:p>
    <w:p w14:paraId="08362344" w14:textId="77777777" w:rsidR="000503FB" w:rsidRDefault="00503F50">
      <w:pPr>
        <w:pStyle w:val="ListParagraph"/>
        <w:numPr>
          <w:ilvl w:val="1"/>
          <w:numId w:val="1"/>
        </w:numPr>
        <w:tabs>
          <w:tab w:val="left" w:pos="786"/>
        </w:tabs>
        <w:ind w:left="785" w:hanging="282"/>
        <w:rPr>
          <w:sz w:val="24"/>
        </w:rPr>
      </w:pPr>
      <w:r>
        <w:rPr>
          <w:sz w:val="24"/>
        </w:rPr>
        <w:t>Distribution</w:t>
      </w:r>
    </w:p>
    <w:p w14:paraId="1FF3AA77" w14:textId="77777777" w:rsidR="000503FB" w:rsidRDefault="000503FB">
      <w:pPr>
        <w:pStyle w:val="BodyText"/>
        <w:spacing w:before="2" w:after="1"/>
        <w:rPr>
          <w:sz w:val="25"/>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5249"/>
      </w:tblGrid>
      <w:tr w:rsidR="000503FB" w14:paraId="76E51CDC" w14:textId="77777777">
        <w:trPr>
          <w:trHeight w:val="465"/>
        </w:trPr>
        <w:tc>
          <w:tcPr>
            <w:tcW w:w="3802" w:type="dxa"/>
          </w:tcPr>
          <w:p w14:paraId="61DF6B00" w14:textId="77777777" w:rsidR="000503FB" w:rsidRDefault="00503F50">
            <w:pPr>
              <w:pStyle w:val="TableParagraph"/>
              <w:ind w:left="112"/>
              <w:rPr>
                <w:sz w:val="24"/>
              </w:rPr>
            </w:pPr>
            <w:r>
              <w:rPr>
                <w:sz w:val="24"/>
              </w:rPr>
              <w:t>Name</w:t>
            </w:r>
          </w:p>
        </w:tc>
        <w:tc>
          <w:tcPr>
            <w:tcW w:w="5249" w:type="dxa"/>
          </w:tcPr>
          <w:p w14:paraId="5318BBAF" w14:textId="77777777" w:rsidR="000503FB" w:rsidRDefault="00503F50">
            <w:pPr>
              <w:pStyle w:val="TableParagraph"/>
              <w:ind w:left="112"/>
              <w:rPr>
                <w:sz w:val="24"/>
              </w:rPr>
            </w:pPr>
            <w:r>
              <w:rPr>
                <w:sz w:val="24"/>
              </w:rPr>
              <w:t>Title</w:t>
            </w:r>
          </w:p>
        </w:tc>
      </w:tr>
      <w:tr w:rsidR="000503FB" w14:paraId="14248F1F" w14:textId="77777777">
        <w:trPr>
          <w:trHeight w:val="306"/>
        </w:trPr>
        <w:tc>
          <w:tcPr>
            <w:tcW w:w="3802" w:type="dxa"/>
          </w:tcPr>
          <w:p w14:paraId="4E912087" w14:textId="77777777" w:rsidR="000503FB" w:rsidRDefault="000503FB">
            <w:pPr>
              <w:pStyle w:val="TableParagraph"/>
              <w:spacing w:before="0"/>
              <w:ind w:left="0"/>
              <w:rPr>
                <w:rFonts w:ascii="Times New Roman"/>
              </w:rPr>
            </w:pPr>
          </w:p>
        </w:tc>
        <w:tc>
          <w:tcPr>
            <w:tcW w:w="5249" w:type="dxa"/>
          </w:tcPr>
          <w:p w14:paraId="3099B795" w14:textId="77777777" w:rsidR="000503FB" w:rsidRDefault="000503FB">
            <w:pPr>
              <w:pStyle w:val="TableParagraph"/>
              <w:spacing w:before="0"/>
              <w:ind w:left="0"/>
              <w:rPr>
                <w:rFonts w:ascii="Times New Roman"/>
              </w:rPr>
            </w:pPr>
          </w:p>
        </w:tc>
      </w:tr>
    </w:tbl>
    <w:p w14:paraId="59935062" w14:textId="77777777" w:rsidR="009937EF" w:rsidRDefault="009937EF"/>
    <w:sectPr w:rsidR="009937EF">
      <w:pgSz w:w="11910" w:h="16840"/>
      <w:pgMar w:top="1280" w:right="6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C2D"/>
    <w:multiLevelType w:val="hybridMultilevel"/>
    <w:tmpl w:val="B12ED07A"/>
    <w:lvl w:ilvl="0" w:tplc="75328340">
      <w:start w:val="1"/>
      <w:numFmt w:val="decimal"/>
      <w:lvlText w:val="%1."/>
      <w:lvlJc w:val="left"/>
      <w:pPr>
        <w:ind w:left="1275" w:hanging="360"/>
        <w:jc w:val="left"/>
      </w:pPr>
      <w:rPr>
        <w:rFonts w:ascii="Arial" w:eastAsia="Arial" w:hAnsi="Arial" w:cs="Arial" w:hint="default"/>
        <w:spacing w:val="-3"/>
        <w:w w:val="100"/>
        <w:sz w:val="24"/>
        <w:szCs w:val="24"/>
        <w:lang w:val="en-GB" w:eastAsia="en-GB" w:bidi="en-GB"/>
      </w:rPr>
    </w:lvl>
    <w:lvl w:ilvl="1" w:tplc="CEFE6588">
      <w:numFmt w:val="bullet"/>
      <w:lvlText w:val="•"/>
      <w:lvlJc w:val="left"/>
      <w:pPr>
        <w:ind w:left="2186" w:hanging="360"/>
      </w:pPr>
      <w:rPr>
        <w:rFonts w:hint="default"/>
        <w:lang w:val="en-GB" w:eastAsia="en-GB" w:bidi="en-GB"/>
      </w:rPr>
    </w:lvl>
    <w:lvl w:ilvl="2" w:tplc="8C180A82">
      <w:numFmt w:val="bullet"/>
      <w:lvlText w:val="•"/>
      <w:lvlJc w:val="left"/>
      <w:pPr>
        <w:ind w:left="3093" w:hanging="360"/>
      </w:pPr>
      <w:rPr>
        <w:rFonts w:hint="default"/>
        <w:lang w:val="en-GB" w:eastAsia="en-GB" w:bidi="en-GB"/>
      </w:rPr>
    </w:lvl>
    <w:lvl w:ilvl="3" w:tplc="701439CA">
      <w:numFmt w:val="bullet"/>
      <w:lvlText w:val="•"/>
      <w:lvlJc w:val="left"/>
      <w:pPr>
        <w:ind w:left="3999" w:hanging="360"/>
      </w:pPr>
      <w:rPr>
        <w:rFonts w:hint="default"/>
        <w:lang w:val="en-GB" w:eastAsia="en-GB" w:bidi="en-GB"/>
      </w:rPr>
    </w:lvl>
    <w:lvl w:ilvl="4" w:tplc="4792245A">
      <w:numFmt w:val="bullet"/>
      <w:lvlText w:val="•"/>
      <w:lvlJc w:val="left"/>
      <w:pPr>
        <w:ind w:left="4906" w:hanging="360"/>
      </w:pPr>
      <w:rPr>
        <w:rFonts w:hint="default"/>
        <w:lang w:val="en-GB" w:eastAsia="en-GB" w:bidi="en-GB"/>
      </w:rPr>
    </w:lvl>
    <w:lvl w:ilvl="5" w:tplc="04BA8C4E">
      <w:numFmt w:val="bullet"/>
      <w:lvlText w:val="•"/>
      <w:lvlJc w:val="left"/>
      <w:pPr>
        <w:ind w:left="5813" w:hanging="360"/>
      </w:pPr>
      <w:rPr>
        <w:rFonts w:hint="default"/>
        <w:lang w:val="en-GB" w:eastAsia="en-GB" w:bidi="en-GB"/>
      </w:rPr>
    </w:lvl>
    <w:lvl w:ilvl="6" w:tplc="2922817C">
      <w:numFmt w:val="bullet"/>
      <w:lvlText w:val="•"/>
      <w:lvlJc w:val="left"/>
      <w:pPr>
        <w:ind w:left="6719" w:hanging="360"/>
      </w:pPr>
      <w:rPr>
        <w:rFonts w:hint="default"/>
        <w:lang w:val="en-GB" w:eastAsia="en-GB" w:bidi="en-GB"/>
      </w:rPr>
    </w:lvl>
    <w:lvl w:ilvl="7" w:tplc="07303E00">
      <w:numFmt w:val="bullet"/>
      <w:lvlText w:val="•"/>
      <w:lvlJc w:val="left"/>
      <w:pPr>
        <w:ind w:left="7626" w:hanging="360"/>
      </w:pPr>
      <w:rPr>
        <w:rFonts w:hint="default"/>
        <w:lang w:val="en-GB" w:eastAsia="en-GB" w:bidi="en-GB"/>
      </w:rPr>
    </w:lvl>
    <w:lvl w:ilvl="8" w:tplc="E6D8A9C8">
      <w:numFmt w:val="bullet"/>
      <w:lvlText w:val="•"/>
      <w:lvlJc w:val="left"/>
      <w:pPr>
        <w:ind w:left="8533" w:hanging="360"/>
      </w:pPr>
      <w:rPr>
        <w:rFonts w:hint="default"/>
        <w:lang w:val="en-GB" w:eastAsia="en-GB" w:bidi="en-GB"/>
      </w:rPr>
    </w:lvl>
  </w:abstractNum>
  <w:abstractNum w:abstractNumId="1" w15:restartNumberingAfterBreak="0">
    <w:nsid w:val="13A37F06"/>
    <w:multiLevelType w:val="hybridMultilevel"/>
    <w:tmpl w:val="D3C6D10C"/>
    <w:lvl w:ilvl="0" w:tplc="52C6F15E">
      <w:start w:val="1"/>
      <w:numFmt w:val="decimal"/>
      <w:lvlText w:val="%1."/>
      <w:lvlJc w:val="left"/>
      <w:pPr>
        <w:ind w:left="500" w:hanging="360"/>
        <w:jc w:val="left"/>
      </w:pPr>
      <w:rPr>
        <w:rFonts w:ascii="Arial" w:eastAsia="Arial" w:hAnsi="Arial" w:cs="Arial" w:hint="default"/>
        <w:b/>
        <w:bCs/>
        <w:spacing w:val="-3"/>
        <w:w w:val="100"/>
        <w:sz w:val="24"/>
        <w:szCs w:val="24"/>
        <w:lang w:val="en-GB" w:eastAsia="en-GB" w:bidi="en-GB"/>
      </w:rPr>
    </w:lvl>
    <w:lvl w:ilvl="1" w:tplc="521ED9EE">
      <w:numFmt w:val="bullet"/>
      <w:lvlText w:val="•"/>
      <w:lvlJc w:val="left"/>
      <w:pPr>
        <w:ind w:left="1205" w:hanging="720"/>
      </w:pPr>
      <w:rPr>
        <w:rFonts w:ascii="Arial" w:eastAsia="Arial" w:hAnsi="Arial" w:cs="Arial" w:hint="default"/>
        <w:spacing w:val="-3"/>
        <w:w w:val="100"/>
        <w:sz w:val="24"/>
        <w:szCs w:val="24"/>
        <w:lang w:val="en-GB" w:eastAsia="en-GB" w:bidi="en-GB"/>
      </w:rPr>
    </w:lvl>
    <w:lvl w:ilvl="2" w:tplc="41221A88">
      <w:numFmt w:val="bullet"/>
      <w:lvlText w:val="•"/>
      <w:lvlJc w:val="left"/>
      <w:pPr>
        <w:ind w:left="2216" w:hanging="720"/>
      </w:pPr>
      <w:rPr>
        <w:rFonts w:hint="default"/>
        <w:lang w:val="en-GB" w:eastAsia="en-GB" w:bidi="en-GB"/>
      </w:rPr>
    </w:lvl>
    <w:lvl w:ilvl="3" w:tplc="1E74BB24">
      <w:numFmt w:val="bullet"/>
      <w:lvlText w:val="•"/>
      <w:lvlJc w:val="left"/>
      <w:pPr>
        <w:ind w:left="3232" w:hanging="720"/>
      </w:pPr>
      <w:rPr>
        <w:rFonts w:hint="default"/>
        <w:lang w:val="en-GB" w:eastAsia="en-GB" w:bidi="en-GB"/>
      </w:rPr>
    </w:lvl>
    <w:lvl w:ilvl="4" w:tplc="D4EE34F2">
      <w:numFmt w:val="bullet"/>
      <w:lvlText w:val="•"/>
      <w:lvlJc w:val="left"/>
      <w:pPr>
        <w:ind w:left="4248" w:hanging="720"/>
      </w:pPr>
      <w:rPr>
        <w:rFonts w:hint="default"/>
        <w:lang w:val="en-GB" w:eastAsia="en-GB" w:bidi="en-GB"/>
      </w:rPr>
    </w:lvl>
    <w:lvl w:ilvl="5" w:tplc="795A0650">
      <w:numFmt w:val="bullet"/>
      <w:lvlText w:val="•"/>
      <w:lvlJc w:val="left"/>
      <w:pPr>
        <w:ind w:left="5265" w:hanging="720"/>
      </w:pPr>
      <w:rPr>
        <w:rFonts w:hint="default"/>
        <w:lang w:val="en-GB" w:eastAsia="en-GB" w:bidi="en-GB"/>
      </w:rPr>
    </w:lvl>
    <w:lvl w:ilvl="6" w:tplc="A2AE6082">
      <w:numFmt w:val="bullet"/>
      <w:lvlText w:val="•"/>
      <w:lvlJc w:val="left"/>
      <w:pPr>
        <w:ind w:left="6281" w:hanging="720"/>
      </w:pPr>
      <w:rPr>
        <w:rFonts w:hint="default"/>
        <w:lang w:val="en-GB" w:eastAsia="en-GB" w:bidi="en-GB"/>
      </w:rPr>
    </w:lvl>
    <w:lvl w:ilvl="7" w:tplc="B120897E">
      <w:numFmt w:val="bullet"/>
      <w:lvlText w:val="•"/>
      <w:lvlJc w:val="left"/>
      <w:pPr>
        <w:ind w:left="7297" w:hanging="720"/>
      </w:pPr>
      <w:rPr>
        <w:rFonts w:hint="default"/>
        <w:lang w:val="en-GB" w:eastAsia="en-GB" w:bidi="en-GB"/>
      </w:rPr>
    </w:lvl>
    <w:lvl w:ilvl="8" w:tplc="3BFEFB48">
      <w:numFmt w:val="bullet"/>
      <w:lvlText w:val="•"/>
      <w:lvlJc w:val="left"/>
      <w:pPr>
        <w:ind w:left="8313" w:hanging="720"/>
      </w:pPr>
      <w:rPr>
        <w:rFonts w:hint="default"/>
        <w:lang w:val="en-GB" w:eastAsia="en-GB" w:bidi="en-GB"/>
      </w:rPr>
    </w:lvl>
  </w:abstractNum>
  <w:abstractNum w:abstractNumId="2" w15:restartNumberingAfterBreak="0">
    <w:nsid w:val="440E1234"/>
    <w:multiLevelType w:val="hybridMultilevel"/>
    <w:tmpl w:val="1A3CC702"/>
    <w:lvl w:ilvl="0" w:tplc="1390D02C">
      <w:start w:val="5"/>
      <w:numFmt w:val="decimal"/>
      <w:lvlText w:val="%1."/>
      <w:lvlJc w:val="left"/>
      <w:pPr>
        <w:ind w:left="382" w:hanging="267"/>
        <w:jc w:val="left"/>
      </w:pPr>
      <w:rPr>
        <w:rFonts w:ascii="Arial" w:eastAsia="Arial" w:hAnsi="Arial" w:cs="Arial" w:hint="default"/>
        <w:b/>
        <w:bCs/>
        <w:spacing w:val="-2"/>
        <w:w w:val="100"/>
        <w:sz w:val="24"/>
        <w:szCs w:val="24"/>
        <w:lang w:val="en-GB" w:eastAsia="en-GB" w:bidi="en-GB"/>
      </w:rPr>
    </w:lvl>
    <w:lvl w:ilvl="1" w:tplc="A5F09B2C">
      <w:start w:val="1"/>
      <w:numFmt w:val="lowerLetter"/>
      <w:lvlText w:val="%2)"/>
      <w:lvlJc w:val="left"/>
      <w:pPr>
        <w:ind w:left="766" w:hanging="281"/>
        <w:jc w:val="left"/>
      </w:pPr>
      <w:rPr>
        <w:rFonts w:ascii="Arial" w:eastAsia="Arial" w:hAnsi="Arial" w:cs="Arial" w:hint="default"/>
        <w:w w:val="100"/>
        <w:sz w:val="24"/>
        <w:szCs w:val="24"/>
        <w:lang w:val="en-GB" w:eastAsia="en-GB" w:bidi="en-GB"/>
      </w:rPr>
    </w:lvl>
    <w:lvl w:ilvl="2" w:tplc="5C580DE2">
      <w:numFmt w:val="bullet"/>
      <w:lvlText w:val="•"/>
      <w:lvlJc w:val="left"/>
      <w:pPr>
        <w:ind w:left="1825" w:hanging="281"/>
      </w:pPr>
      <w:rPr>
        <w:rFonts w:hint="default"/>
        <w:lang w:val="en-GB" w:eastAsia="en-GB" w:bidi="en-GB"/>
      </w:rPr>
    </w:lvl>
    <w:lvl w:ilvl="3" w:tplc="FDC64B88">
      <w:numFmt w:val="bullet"/>
      <w:lvlText w:val="•"/>
      <w:lvlJc w:val="left"/>
      <w:pPr>
        <w:ind w:left="2890" w:hanging="281"/>
      </w:pPr>
      <w:rPr>
        <w:rFonts w:hint="default"/>
        <w:lang w:val="en-GB" w:eastAsia="en-GB" w:bidi="en-GB"/>
      </w:rPr>
    </w:lvl>
    <w:lvl w:ilvl="4" w:tplc="0CEC0A2E">
      <w:numFmt w:val="bullet"/>
      <w:lvlText w:val="•"/>
      <w:lvlJc w:val="left"/>
      <w:pPr>
        <w:ind w:left="3955" w:hanging="281"/>
      </w:pPr>
      <w:rPr>
        <w:rFonts w:hint="default"/>
        <w:lang w:val="en-GB" w:eastAsia="en-GB" w:bidi="en-GB"/>
      </w:rPr>
    </w:lvl>
    <w:lvl w:ilvl="5" w:tplc="E050FD42">
      <w:numFmt w:val="bullet"/>
      <w:lvlText w:val="•"/>
      <w:lvlJc w:val="left"/>
      <w:pPr>
        <w:ind w:left="5020" w:hanging="281"/>
      </w:pPr>
      <w:rPr>
        <w:rFonts w:hint="default"/>
        <w:lang w:val="en-GB" w:eastAsia="en-GB" w:bidi="en-GB"/>
      </w:rPr>
    </w:lvl>
    <w:lvl w:ilvl="6" w:tplc="53E4E06A">
      <w:numFmt w:val="bullet"/>
      <w:lvlText w:val="•"/>
      <w:lvlJc w:val="left"/>
      <w:pPr>
        <w:ind w:left="6085" w:hanging="281"/>
      </w:pPr>
      <w:rPr>
        <w:rFonts w:hint="default"/>
        <w:lang w:val="en-GB" w:eastAsia="en-GB" w:bidi="en-GB"/>
      </w:rPr>
    </w:lvl>
    <w:lvl w:ilvl="7" w:tplc="E6143888">
      <w:numFmt w:val="bullet"/>
      <w:lvlText w:val="•"/>
      <w:lvlJc w:val="left"/>
      <w:pPr>
        <w:ind w:left="7150" w:hanging="281"/>
      </w:pPr>
      <w:rPr>
        <w:rFonts w:hint="default"/>
        <w:lang w:val="en-GB" w:eastAsia="en-GB" w:bidi="en-GB"/>
      </w:rPr>
    </w:lvl>
    <w:lvl w:ilvl="8" w:tplc="38E05604">
      <w:numFmt w:val="bullet"/>
      <w:lvlText w:val="•"/>
      <w:lvlJc w:val="left"/>
      <w:pPr>
        <w:ind w:left="8216" w:hanging="281"/>
      </w:pPr>
      <w:rPr>
        <w:rFonts w:hint="default"/>
        <w:lang w:val="en-GB" w:eastAsia="en-GB" w:bidi="en-GB"/>
      </w:rPr>
    </w:lvl>
  </w:abstractNum>
  <w:num w:numId="1" w16cid:durableId="292247194">
    <w:abstractNumId w:val="2"/>
  </w:num>
  <w:num w:numId="2" w16cid:durableId="884560407">
    <w:abstractNumId w:val="0"/>
  </w:num>
  <w:num w:numId="3" w16cid:durableId="110738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FB"/>
    <w:rsid w:val="000503FB"/>
    <w:rsid w:val="00503F50"/>
    <w:rsid w:val="007E2233"/>
    <w:rsid w:val="0099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40EE"/>
  <w15:docId w15:val="{51DA5CAA-8E9E-461F-BE4C-728C5EF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205" w:hanging="360"/>
    </w:pPr>
  </w:style>
  <w:style w:type="paragraph" w:customStyle="1" w:styleId="TableParagraph">
    <w:name w:val="Table Paragraph"/>
    <w:basedOn w:val="Normal"/>
    <w:uiPriority w:val="1"/>
    <w:qFormat/>
    <w:pPr>
      <w:spacing w:before="10"/>
      <w:ind w:left="107"/>
    </w:pPr>
  </w:style>
  <w:style w:type="character" w:styleId="Hyperlink">
    <w:name w:val="Hyperlink"/>
    <w:basedOn w:val="DefaultParagraphFont"/>
    <w:uiPriority w:val="99"/>
    <w:unhideWhenUsed/>
    <w:rsid w:val="00503F50"/>
    <w:rPr>
      <w:color w:val="0000FF" w:themeColor="hyperlink"/>
      <w:u w:val="single"/>
    </w:rPr>
  </w:style>
  <w:style w:type="character" w:styleId="UnresolvedMention">
    <w:name w:val="Unresolved Mention"/>
    <w:basedOn w:val="DefaultParagraphFont"/>
    <w:uiPriority w:val="99"/>
    <w:semiHidden/>
    <w:unhideWhenUsed/>
    <w:rsid w:val="00503F50"/>
    <w:rPr>
      <w:color w:val="605E5C"/>
      <w:shd w:val="clear" w:color="auto" w:fill="E1DFDD"/>
    </w:rPr>
  </w:style>
  <w:style w:type="character" w:styleId="FollowedHyperlink">
    <w:name w:val="FollowedHyperlink"/>
    <w:basedOn w:val="DefaultParagraphFont"/>
    <w:uiPriority w:val="99"/>
    <w:semiHidden/>
    <w:unhideWhenUsed/>
    <w:rsid w:val="00503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cot/publications/respect-national-approach-anti-bullying-scotlands-children-young-people/" TargetMode="External"/><Relationship Id="rId13" Type="http://schemas.openxmlformats.org/officeDocument/2006/relationships/hyperlink" Target="https://www.gov.scot/publications/supporting-transgender-young-people-schools-guidance-scottish-schools/" TargetMode="External"/><Relationship Id="rId3" Type="http://schemas.openxmlformats.org/officeDocument/2006/relationships/settings" Target="settings.xml"/><Relationship Id="rId7" Type="http://schemas.openxmlformats.org/officeDocument/2006/relationships/hyperlink" Target="https://asn-aberdeenshire.org/policies-and-guidance/" TargetMode="External"/><Relationship Id="rId12" Type="http://schemas.openxmlformats.org/officeDocument/2006/relationships/hyperlink" Target="https://www.gov.scot/publications/supporting-transgender-young-people-schools-guidance-scottish-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n-aberdeenshire.org/wp-content/uploads/2022/06/Aberdeenshire-Anti-Bullying-Guidance-Bullying-Prevention-and-Management-for-Educational-Establishments-March-2022.pdf" TargetMode="External"/><Relationship Id="rId11" Type="http://schemas.openxmlformats.org/officeDocument/2006/relationships/hyperlink" Target="https://aberdeenshire.sharepoint.com/sites/ECSEducation2/SitePages/Schools.aspx?csf=1&amp;web=1&amp;e=8cL0v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v.scot/publications/included-engaged-involved-part-2-positive-approach-preventing-managing-school/" TargetMode="External"/><Relationship Id="rId4" Type="http://schemas.openxmlformats.org/officeDocument/2006/relationships/webSettings" Target="webSettings.xml"/><Relationship Id="rId9" Type="http://schemas.openxmlformats.org/officeDocument/2006/relationships/hyperlink" Target="https://www.gov.scot/publications/included-engaged-involved-part-2-positive-approach-preventing-managing-school/" TargetMode="External"/><Relationship Id="rId14" Type="http://schemas.openxmlformats.org/officeDocument/2006/relationships/hyperlink" Target="https://respectme.org.uk/training/training-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Amanda Roe</dc:creator>
  <cp:lastModifiedBy>Katie Timney</cp:lastModifiedBy>
  <cp:revision>2</cp:revision>
  <dcterms:created xsi:type="dcterms:W3CDTF">2024-04-18T06:58:00Z</dcterms:created>
  <dcterms:modified xsi:type="dcterms:W3CDTF">2024-04-18T06:58:00Z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20 for Word</vt:lpwstr>
  </property>
  <property fmtid="{D5CDD505-2E9C-101B-9397-08002B2CF9AE}" pid="4" name="LastSaved">
    <vt:filetime>2023-04-21T00:00:00Z</vt:filetime>
  </property>
</Properties>
</file>