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EAAF" w14:textId="77777777" w:rsidR="007F0771" w:rsidRDefault="00B435FF">
      <w:pPr>
        <w:pStyle w:val="BodyText"/>
        <w:rPr>
          <w:rFonts w:ascii="Times New Roman"/>
          <w:sz w:val="20"/>
        </w:rPr>
      </w:pPr>
      <w:r>
        <w:rPr>
          <w:noProof/>
        </w:rPr>
        <w:drawing>
          <wp:anchor distT="0" distB="0" distL="0" distR="0" simplePos="0" relativeHeight="251658240" behindDoc="1" locked="0" layoutInCell="1" allowOverlap="1" wp14:anchorId="1237EAEE" wp14:editId="29280A85">
            <wp:simplePos x="0" y="0"/>
            <wp:positionH relativeFrom="page">
              <wp:posOffset>0</wp:posOffset>
            </wp:positionH>
            <wp:positionV relativeFrom="page">
              <wp:posOffset>1</wp:posOffset>
            </wp:positionV>
            <wp:extent cx="7470140" cy="15786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508692" cy="1586781"/>
                    </a:xfrm>
                    <a:prstGeom prst="rect">
                      <a:avLst/>
                    </a:prstGeom>
                  </pic:spPr>
                </pic:pic>
              </a:graphicData>
            </a:graphic>
            <wp14:sizeRelH relativeFrom="margin">
              <wp14:pctWidth>0</wp14:pctWidth>
            </wp14:sizeRelH>
            <wp14:sizeRelV relativeFrom="margin">
              <wp14:pctHeight>0</wp14:pctHeight>
            </wp14:sizeRelV>
          </wp:anchor>
        </w:drawing>
      </w:r>
    </w:p>
    <w:p w14:paraId="1237EAB0" w14:textId="77777777" w:rsidR="007F0771" w:rsidRDefault="007F0771">
      <w:pPr>
        <w:pStyle w:val="BodyText"/>
        <w:rPr>
          <w:rFonts w:ascii="Times New Roman"/>
          <w:sz w:val="20"/>
        </w:rPr>
      </w:pPr>
    </w:p>
    <w:p w14:paraId="1237EAB1" w14:textId="77777777" w:rsidR="007F0771" w:rsidRDefault="007F0771">
      <w:pPr>
        <w:pStyle w:val="BodyText"/>
        <w:rPr>
          <w:rFonts w:ascii="Times New Roman"/>
          <w:sz w:val="20"/>
        </w:rPr>
      </w:pPr>
    </w:p>
    <w:p w14:paraId="1237EAB2" w14:textId="77777777" w:rsidR="007F0771" w:rsidRDefault="007F0771">
      <w:pPr>
        <w:pStyle w:val="BodyText"/>
        <w:rPr>
          <w:rFonts w:ascii="Times New Roman"/>
          <w:sz w:val="20"/>
        </w:rPr>
      </w:pPr>
    </w:p>
    <w:p w14:paraId="1237EAB3" w14:textId="77777777" w:rsidR="007F0771" w:rsidRDefault="007F0771">
      <w:pPr>
        <w:pStyle w:val="BodyText"/>
        <w:rPr>
          <w:rFonts w:ascii="Times New Roman"/>
          <w:sz w:val="20"/>
        </w:rPr>
      </w:pPr>
    </w:p>
    <w:p w14:paraId="1237EAB4" w14:textId="77777777" w:rsidR="007F0771" w:rsidRDefault="007F0771">
      <w:pPr>
        <w:pStyle w:val="BodyText"/>
        <w:rPr>
          <w:rFonts w:ascii="Times New Roman"/>
          <w:sz w:val="20"/>
        </w:rPr>
      </w:pPr>
    </w:p>
    <w:p w14:paraId="1237EAB5" w14:textId="77777777" w:rsidR="007F0771" w:rsidRDefault="007F0771">
      <w:pPr>
        <w:pStyle w:val="BodyText"/>
        <w:rPr>
          <w:rFonts w:ascii="Times New Roman"/>
          <w:sz w:val="20"/>
        </w:rPr>
      </w:pPr>
    </w:p>
    <w:p w14:paraId="1237EAB6" w14:textId="77777777" w:rsidR="007F0771" w:rsidRDefault="007F0771">
      <w:pPr>
        <w:pStyle w:val="BodyText"/>
        <w:rPr>
          <w:rFonts w:ascii="Times New Roman"/>
          <w:sz w:val="20"/>
        </w:rPr>
      </w:pPr>
    </w:p>
    <w:p w14:paraId="1237EAB7" w14:textId="77777777" w:rsidR="007F0771" w:rsidRDefault="007F0771">
      <w:pPr>
        <w:pStyle w:val="BodyText"/>
        <w:rPr>
          <w:rFonts w:ascii="Times New Roman"/>
          <w:sz w:val="20"/>
        </w:rPr>
      </w:pPr>
    </w:p>
    <w:p w14:paraId="1237EAB8" w14:textId="77777777" w:rsidR="007F0771" w:rsidRDefault="007F0771">
      <w:pPr>
        <w:pStyle w:val="BodyText"/>
        <w:rPr>
          <w:rFonts w:ascii="Times New Roman"/>
          <w:sz w:val="20"/>
        </w:rPr>
      </w:pPr>
    </w:p>
    <w:p w14:paraId="1237EABA" w14:textId="77777777" w:rsidR="007F0771" w:rsidRDefault="007F0771">
      <w:pPr>
        <w:pStyle w:val="BodyText"/>
        <w:rPr>
          <w:rFonts w:ascii="Times New Roman"/>
          <w:sz w:val="29"/>
        </w:rPr>
      </w:pPr>
    </w:p>
    <w:p w14:paraId="7D6287CC" w14:textId="77777777" w:rsidR="00AF5D77" w:rsidRDefault="4F8B0434" w:rsidP="10D16EA5">
      <w:pPr>
        <w:spacing w:before="20"/>
        <w:ind w:left="120"/>
        <w:jc w:val="center"/>
        <w:rPr>
          <w:sz w:val="40"/>
          <w:szCs w:val="40"/>
        </w:rPr>
      </w:pPr>
      <w:r w:rsidRPr="10D16EA5">
        <w:rPr>
          <w:sz w:val="40"/>
          <w:szCs w:val="40"/>
        </w:rPr>
        <w:t xml:space="preserve">Guidance: </w:t>
      </w:r>
      <w:r w:rsidR="00B435FF" w:rsidRPr="10D16EA5">
        <w:rPr>
          <w:sz w:val="40"/>
          <w:szCs w:val="40"/>
        </w:rPr>
        <w:t>Pupil Moving and Handling in Schools</w:t>
      </w:r>
      <w:r w:rsidR="78894FCB" w:rsidRPr="10D16EA5">
        <w:rPr>
          <w:sz w:val="40"/>
          <w:szCs w:val="40"/>
        </w:rPr>
        <w:t xml:space="preserve"> </w:t>
      </w:r>
    </w:p>
    <w:p w14:paraId="1237EABB" w14:textId="76C4F7C7" w:rsidR="007F0771" w:rsidRDefault="00AF5D77" w:rsidP="10D16EA5">
      <w:pPr>
        <w:spacing w:before="20"/>
        <w:ind w:left="120"/>
        <w:jc w:val="center"/>
        <w:rPr>
          <w:sz w:val="40"/>
          <w:szCs w:val="40"/>
        </w:rPr>
      </w:pPr>
      <w:r>
        <w:rPr>
          <w:sz w:val="40"/>
          <w:szCs w:val="40"/>
        </w:rPr>
        <w:t>October 2023</w:t>
      </w:r>
    </w:p>
    <w:p w14:paraId="1237EABC" w14:textId="77777777" w:rsidR="007F0771" w:rsidRDefault="00B435FF">
      <w:pPr>
        <w:pStyle w:val="BodyText"/>
        <w:spacing w:before="296"/>
        <w:ind w:left="120" w:right="240"/>
      </w:pPr>
      <w:r>
        <w:t xml:space="preserve">Children and young people have their needs assessed on an individual basis and support will be provided as required in line with Getting It Right for Every Child </w:t>
      </w:r>
      <w:hyperlink r:id="rId11">
        <w:r>
          <w:rPr>
            <w:color w:val="0562C1"/>
            <w:u w:val="single" w:color="0562C1"/>
          </w:rPr>
          <w:t>GIRFEC</w:t>
        </w:r>
      </w:hyperlink>
      <w:r>
        <w:t>.</w:t>
      </w:r>
    </w:p>
    <w:p w14:paraId="1237EABD" w14:textId="77777777" w:rsidR="007F0771" w:rsidRDefault="007F0771">
      <w:pPr>
        <w:pStyle w:val="BodyText"/>
        <w:spacing w:before="1"/>
        <w:rPr>
          <w:sz w:val="21"/>
        </w:rPr>
      </w:pPr>
    </w:p>
    <w:p w14:paraId="1237EABE" w14:textId="77777777" w:rsidR="007F0771" w:rsidRDefault="00B435FF">
      <w:pPr>
        <w:spacing w:before="35"/>
        <w:ind w:left="120"/>
        <w:rPr>
          <w:sz w:val="32"/>
        </w:rPr>
      </w:pPr>
      <w:r>
        <w:rPr>
          <w:sz w:val="32"/>
        </w:rPr>
        <w:t>Head Teacher / Senior Leadership Team Responsibility</w:t>
      </w:r>
    </w:p>
    <w:p w14:paraId="1237EABF" w14:textId="77777777" w:rsidR="007F0771" w:rsidRDefault="00B435FF">
      <w:pPr>
        <w:pStyle w:val="BodyText"/>
        <w:ind w:left="120" w:right="112"/>
      </w:pPr>
      <w:r>
        <w:t>Head Teachers / Senior Leadership Team ensure staff are aware of what risks are present in moving and handling of pupils and what reasonable control measures can be implemented to minimise risks.</w:t>
      </w:r>
    </w:p>
    <w:p w14:paraId="1237EAC0" w14:textId="77777777" w:rsidR="007F0771" w:rsidRDefault="007F0771">
      <w:pPr>
        <w:pStyle w:val="BodyText"/>
        <w:spacing w:before="12"/>
        <w:rPr>
          <w:sz w:val="23"/>
        </w:rPr>
      </w:pPr>
    </w:p>
    <w:p w14:paraId="1237EAC1" w14:textId="77777777" w:rsidR="007F0771" w:rsidRDefault="00B435FF">
      <w:pPr>
        <w:pStyle w:val="BodyText"/>
        <w:ind w:left="120"/>
      </w:pPr>
      <w:r>
        <w:t>When moving and handling of a pupil is required the following documents must be in place</w:t>
      </w:r>
    </w:p>
    <w:p w14:paraId="1237EAC3" w14:textId="511DA214" w:rsidR="007F0771" w:rsidRPr="00C923A6" w:rsidRDefault="007F0771" w:rsidP="00C923A6">
      <w:pPr>
        <w:tabs>
          <w:tab w:val="left" w:pos="839"/>
          <w:tab w:val="left" w:pos="840"/>
        </w:tabs>
        <w:rPr>
          <w:rFonts w:ascii="Symbol" w:hAnsi="Symbol"/>
          <w:sz w:val="24"/>
        </w:rPr>
      </w:pPr>
    </w:p>
    <w:p w14:paraId="1237EAC4" w14:textId="77777777" w:rsidR="007F0771" w:rsidRDefault="00B435FF">
      <w:pPr>
        <w:pStyle w:val="ListParagraph"/>
        <w:numPr>
          <w:ilvl w:val="0"/>
          <w:numId w:val="1"/>
        </w:numPr>
        <w:tabs>
          <w:tab w:val="left" w:pos="839"/>
          <w:tab w:val="left" w:pos="840"/>
        </w:tabs>
        <w:spacing w:before="1" w:line="305" w:lineRule="exact"/>
        <w:rPr>
          <w:rFonts w:ascii="Symbol" w:hAnsi="Symbol"/>
          <w:sz w:val="24"/>
          <w:u w:val="none"/>
        </w:rPr>
      </w:pPr>
      <w:r>
        <w:rPr>
          <w:sz w:val="24"/>
          <w:u w:val="none"/>
        </w:rPr>
        <w:t>Pupil Moving and Handling</w:t>
      </w:r>
      <w:r>
        <w:rPr>
          <w:spacing w:val="2"/>
          <w:sz w:val="24"/>
          <w:u w:val="none"/>
        </w:rPr>
        <w:t xml:space="preserve"> </w:t>
      </w:r>
      <w:r>
        <w:rPr>
          <w:sz w:val="24"/>
          <w:u w:val="none"/>
        </w:rPr>
        <w:t>Plan</w:t>
      </w:r>
    </w:p>
    <w:p w14:paraId="1237EAC5" w14:textId="77777777" w:rsidR="007F0771" w:rsidRDefault="00B435FF">
      <w:pPr>
        <w:pStyle w:val="ListParagraph"/>
        <w:numPr>
          <w:ilvl w:val="0"/>
          <w:numId w:val="1"/>
        </w:numPr>
        <w:tabs>
          <w:tab w:val="left" w:pos="839"/>
          <w:tab w:val="left" w:pos="840"/>
        </w:tabs>
        <w:spacing w:before="0" w:line="305" w:lineRule="exact"/>
        <w:rPr>
          <w:rFonts w:ascii="Symbol" w:hAnsi="Symbol"/>
          <w:sz w:val="24"/>
          <w:u w:val="none"/>
        </w:rPr>
      </w:pPr>
      <w:r>
        <w:rPr>
          <w:sz w:val="24"/>
          <w:u w:val="none"/>
        </w:rPr>
        <w:t>Pupil Moving and Handling Risk Audit and Risk</w:t>
      </w:r>
      <w:r>
        <w:rPr>
          <w:spacing w:val="-1"/>
          <w:sz w:val="24"/>
          <w:u w:val="none"/>
        </w:rPr>
        <w:t xml:space="preserve"> </w:t>
      </w:r>
      <w:r>
        <w:rPr>
          <w:sz w:val="24"/>
          <w:u w:val="none"/>
        </w:rPr>
        <w:t>Assessment</w:t>
      </w:r>
    </w:p>
    <w:p w14:paraId="1237EAC6" w14:textId="77777777" w:rsidR="007F0771" w:rsidRDefault="00B435FF">
      <w:pPr>
        <w:pStyle w:val="ListParagraph"/>
        <w:numPr>
          <w:ilvl w:val="0"/>
          <w:numId w:val="1"/>
        </w:numPr>
        <w:tabs>
          <w:tab w:val="left" w:pos="839"/>
          <w:tab w:val="left" w:pos="840"/>
        </w:tabs>
        <w:spacing w:before="2"/>
        <w:rPr>
          <w:rFonts w:ascii="Symbol" w:hAnsi="Symbol"/>
          <w:sz w:val="24"/>
          <w:u w:val="none"/>
        </w:rPr>
      </w:pPr>
      <w:r>
        <w:rPr>
          <w:sz w:val="24"/>
          <w:u w:val="none"/>
        </w:rPr>
        <w:t>Personal Emergency Evacuation Plan</w:t>
      </w:r>
    </w:p>
    <w:p w14:paraId="1237EAC7" w14:textId="64ECEBDF" w:rsidR="007F0771" w:rsidRDefault="00B435FF">
      <w:pPr>
        <w:pStyle w:val="BodyText"/>
        <w:spacing w:before="139"/>
        <w:ind w:left="120" w:right="693"/>
        <w:jc w:val="both"/>
      </w:pPr>
      <w:r>
        <w:t xml:space="preserve">Guidance and examples of completed forms are on the </w:t>
      </w:r>
      <w:hyperlink r:id="rId12" w:history="1">
        <w:r w:rsidRPr="00BC610C">
          <w:rPr>
            <w:rStyle w:val="Hyperlink"/>
          </w:rPr>
          <w:t>ASN website</w:t>
        </w:r>
      </w:hyperlink>
      <w:r>
        <w:t xml:space="preserve"> under policies and guidance and should be read when Moving and Handling pupils is necessary. </w:t>
      </w:r>
    </w:p>
    <w:p w14:paraId="1237EAC8" w14:textId="77777777" w:rsidR="007F0771" w:rsidRDefault="007F0771">
      <w:pPr>
        <w:pStyle w:val="BodyText"/>
        <w:spacing w:before="9"/>
        <w:rPr>
          <w:sz w:val="19"/>
        </w:rPr>
      </w:pPr>
    </w:p>
    <w:p w14:paraId="1237EAC9" w14:textId="77777777" w:rsidR="007F0771" w:rsidRDefault="00B435FF">
      <w:pPr>
        <w:pStyle w:val="BodyText"/>
        <w:spacing w:before="51"/>
        <w:ind w:left="119" w:right="163"/>
      </w:pPr>
      <w:r>
        <w:t xml:space="preserve">Health and safety law requires employers to carry out a suitable and sufficient risk assessment and put plans in place where moving and handling is necessary. </w:t>
      </w:r>
      <w:hyperlink r:id="rId13">
        <w:r>
          <w:rPr>
            <w:color w:val="0562C1"/>
            <w:u w:val="single" w:color="0562C1"/>
          </w:rPr>
          <w:t>The People</w:t>
        </w:r>
      </w:hyperlink>
      <w:r>
        <w:rPr>
          <w:color w:val="0562C1"/>
        </w:rPr>
        <w:t xml:space="preserve"> </w:t>
      </w:r>
      <w:hyperlink r:id="rId14">
        <w:r>
          <w:rPr>
            <w:color w:val="0562C1"/>
            <w:u w:val="single" w:color="0562C1"/>
          </w:rPr>
          <w:t>Handling Induction e-learning module</w:t>
        </w:r>
        <w:r>
          <w:rPr>
            <w:color w:val="0562C1"/>
          </w:rPr>
          <w:t xml:space="preserve"> </w:t>
        </w:r>
      </w:hyperlink>
      <w:r>
        <w:t xml:space="preserve">on ALDO includes a section on risk assessment to support staff in manging hazards and risks. The Pupil Moving and Handling Plan and the Pupil Moving and Handling Risk Assessment is to be completed and it must be shared with the Team Around the Child prior to its implementation. The templates for the Moving and Handling Plan and Moving and Handling Risk Assessment are available for staff to </w:t>
      </w:r>
      <w:r>
        <w:rPr>
          <w:u w:val="single"/>
        </w:rPr>
        <w:t>amend</w:t>
      </w:r>
      <w:r>
        <w:t xml:space="preserve"> to suit the needs of the child/ young person. Once amended, these documents will detail a safe and consistent moving and handling approach. Once agreed by the Team Around the Child these documents are to be shared with all relevant staff involved with the pupil as they provide concise and easy to follow instructions on how to move the pupil and manage the risk. All Pupil Moving and Handling Plans, Pupil Moving and Handling Risk Assessments, Personal Emergency Evacuation and Managing Accessibility Plans should be monitored and reviewed at regular intervals (at a minimum annually) and always in response to the direct needs of the pupil.</w:t>
      </w:r>
    </w:p>
    <w:p w14:paraId="1237EACA" w14:textId="77777777" w:rsidR="007F0771" w:rsidRDefault="007F0771">
      <w:pPr>
        <w:pStyle w:val="BodyText"/>
        <w:spacing w:before="2"/>
      </w:pPr>
    </w:p>
    <w:p w14:paraId="1237EACB" w14:textId="77777777" w:rsidR="007F0771" w:rsidRDefault="00B435FF">
      <w:pPr>
        <w:pStyle w:val="BodyText"/>
        <w:ind w:left="120"/>
      </w:pPr>
      <w:r>
        <w:t>Moving and Handling Training for Staff</w:t>
      </w:r>
    </w:p>
    <w:p w14:paraId="1237EACC" w14:textId="77777777" w:rsidR="007F0771" w:rsidRDefault="00B435FF">
      <w:pPr>
        <w:pStyle w:val="BodyText"/>
        <w:ind w:left="120" w:right="290"/>
      </w:pPr>
      <w:r>
        <w:t>Moving and handling training must be undertaken by staff prior to involvement with provision of support for the child/young person. No Moving and Handling Procedure should be undertaken without training. The following courses are described and booked on ALDO.</w:t>
      </w:r>
    </w:p>
    <w:p w14:paraId="1237EACD" w14:textId="77777777" w:rsidR="007F0771" w:rsidRDefault="007F0771">
      <w:pPr>
        <w:sectPr w:rsidR="007F0771" w:rsidSect="00B435FF">
          <w:footerReference w:type="default" r:id="rId15"/>
          <w:type w:val="continuous"/>
          <w:pgSz w:w="11910" w:h="16840"/>
          <w:pgMar w:top="0" w:right="1340" w:bottom="280" w:left="1320" w:header="720" w:footer="567" w:gutter="0"/>
          <w:cols w:space="720"/>
          <w:docGrid w:linePitch="299"/>
        </w:sectPr>
      </w:pPr>
    </w:p>
    <w:p w14:paraId="1237EACE" w14:textId="77777777" w:rsidR="007F0771" w:rsidRDefault="00B435FF">
      <w:pPr>
        <w:pStyle w:val="ListParagraph"/>
        <w:numPr>
          <w:ilvl w:val="0"/>
          <w:numId w:val="1"/>
        </w:numPr>
        <w:tabs>
          <w:tab w:val="left" w:pos="840"/>
        </w:tabs>
        <w:spacing w:before="80"/>
        <w:ind w:right="117"/>
        <w:jc w:val="both"/>
        <w:rPr>
          <w:rFonts w:ascii="Symbol" w:hAnsi="Symbol"/>
          <w:sz w:val="24"/>
          <w:u w:val="none"/>
        </w:rPr>
      </w:pPr>
      <w:r>
        <w:rPr>
          <w:sz w:val="24"/>
          <w:u w:val="none"/>
        </w:rPr>
        <w:lastRenderedPageBreak/>
        <w:t>Pupil Handling Induction e-learning module: access directly on ALDO self-teach online course – duration 30 minutes –</w:t>
      </w:r>
      <w:r>
        <w:rPr>
          <w:color w:val="0562C1"/>
          <w:sz w:val="24"/>
          <w:u w:val="none"/>
        </w:rPr>
        <w:t xml:space="preserve"> </w:t>
      </w:r>
      <w:hyperlink r:id="rId16">
        <w:r>
          <w:rPr>
            <w:color w:val="0562C1"/>
            <w:sz w:val="24"/>
            <w:u w:color="0562C1"/>
          </w:rPr>
          <w:t>link to People Handling e-learning Induction course on</w:t>
        </w:r>
      </w:hyperlink>
      <w:hyperlink r:id="rId17">
        <w:r>
          <w:rPr>
            <w:color w:val="0562C1"/>
            <w:sz w:val="24"/>
            <w:u w:color="0562C1"/>
          </w:rPr>
          <w:t xml:space="preserve"> ALDO</w:t>
        </w:r>
      </w:hyperlink>
    </w:p>
    <w:p w14:paraId="1237EACF" w14:textId="77777777" w:rsidR="007F0771" w:rsidRDefault="00B435FF">
      <w:pPr>
        <w:pStyle w:val="ListParagraph"/>
        <w:numPr>
          <w:ilvl w:val="0"/>
          <w:numId w:val="1"/>
        </w:numPr>
        <w:tabs>
          <w:tab w:val="left" w:pos="840"/>
        </w:tabs>
        <w:spacing w:before="1"/>
        <w:ind w:right="283"/>
        <w:jc w:val="both"/>
        <w:rPr>
          <w:rFonts w:ascii="Symbol" w:hAnsi="Symbol"/>
          <w:sz w:val="24"/>
          <w:u w:val="none"/>
        </w:rPr>
      </w:pPr>
      <w:r>
        <w:rPr>
          <w:sz w:val="24"/>
          <w:u w:val="none"/>
        </w:rPr>
        <w:t>Pupil Moving and Handling: enrol on ALDO. Face to face course with trainer – duration 3 hours 30 minutes</w:t>
      </w:r>
      <w:r>
        <w:rPr>
          <w:color w:val="0562C1"/>
          <w:sz w:val="24"/>
          <w:u w:val="none"/>
        </w:rPr>
        <w:t xml:space="preserve"> </w:t>
      </w:r>
      <w:hyperlink r:id="rId18">
        <w:r>
          <w:rPr>
            <w:color w:val="0562C1"/>
            <w:sz w:val="24"/>
            <w:u w:color="0562C1"/>
          </w:rPr>
          <w:t xml:space="preserve">– link to Moving and handling of </w:t>
        </w:r>
        <w:proofErr w:type="gramStart"/>
        <w:r>
          <w:rPr>
            <w:color w:val="0562C1"/>
            <w:sz w:val="24"/>
            <w:u w:color="0562C1"/>
          </w:rPr>
          <w:t>pupils</w:t>
        </w:r>
        <w:proofErr w:type="gramEnd"/>
        <w:r>
          <w:rPr>
            <w:color w:val="0562C1"/>
            <w:sz w:val="24"/>
            <w:u w:color="0562C1"/>
          </w:rPr>
          <w:t xml:space="preserve"> course on</w:t>
        </w:r>
        <w:r>
          <w:rPr>
            <w:color w:val="0562C1"/>
            <w:spacing w:val="-26"/>
            <w:sz w:val="24"/>
            <w:u w:color="0562C1"/>
          </w:rPr>
          <w:t xml:space="preserve"> </w:t>
        </w:r>
        <w:r>
          <w:rPr>
            <w:color w:val="0562C1"/>
            <w:sz w:val="24"/>
            <w:u w:color="0562C1"/>
          </w:rPr>
          <w:t>ALDO</w:t>
        </w:r>
      </w:hyperlink>
    </w:p>
    <w:p w14:paraId="1237EAD0" w14:textId="77777777" w:rsidR="007F0771" w:rsidRDefault="00B435FF">
      <w:pPr>
        <w:pStyle w:val="ListParagraph"/>
        <w:numPr>
          <w:ilvl w:val="0"/>
          <w:numId w:val="1"/>
        </w:numPr>
        <w:tabs>
          <w:tab w:val="left" w:pos="840"/>
        </w:tabs>
        <w:spacing w:before="0"/>
        <w:ind w:right="177"/>
        <w:jc w:val="both"/>
        <w:rPr>
          <w:rFonts w:ascii="Symbol" w:hAnsi="Symbol"/>
          <w:sz w:val="24"/>
          <w:u w:val="none"/>
        </w:rPr>
      </w:pPr>
      <w:r>
        <w:rPr>
          <w:sz w:val="24"/>
          <w:u w:val="none"/>
        </w:rPr>
        <w:t>Hoist Awareness for staff: enrol on ALDO. Face to face course with trainer – duration 3 hours 30 minutes –</w:t>
      </w:r>
      <w:r>
        <w:rPr>
          <w:color w:val="0562C1"/>
          <w:sz w:val="24"/>
          <w:u w:val="none"/>
        </w:rPr>
        <w:t xml:space="preserve"> </w:t>
      </w:r>
      <w:hyperlink r:id="rId19">
        <w:r>
          <w:rPr>
            <w:color w:val="0562C1"/>
            <w:sz w:val="24"/>
            <w:u w:color="0562C1"/>
          </w:rPr>
          <w:t>link to Hoist Awareness training for school staff course on</w:t>
        </w:r>
        <w:r>
          <w:rPr>
            <w:color w:val="0562C1"/>
            <w:spacing w:val="-27"/>
            <w:sz w:val="24"/>
            <w:u w:color="0562C1"/>
          </w:rPr>
          <w:t xml:space="preserve"> </w:t>
        </w:r>
        <w:r>
          <w:rPr>
            <w:color w:val="0562C1"/>
            <w:sz w:val="24"/>
            <w:u w:color="0562C1"/>
          </w:rPr>
          <w:t>ALDO</w:t>
        </w:r>
      </w:hyperlink>
    </w:p>
    <w:p w14:paraId="1237EAD1" w14:textId="77777777" w:rsidR="007F0771" w:rsidRDefault="00B435FF">
      <w:pPr>
        <w:pStyle w:val="BodyText"/>
        <w:spacing w:before="140"/>
        <w:ind w:left="120" w:right="438"/>
        <w:jc w:val="both"/>
      </w:pPr>
      <w:r>
        <w:t xml:space="preserve">All three courses must be refreshed every 2 years to make sure moving and handling skills and knowledge are kept up to date. Any further questions related to Moving and Handling can be sent to </w:t>
      </w:r>
      <w:hyperlink r:id="rId20">
        <w:r>
          <w:rPr>
            <w:color w:val="0562C1"/>
            <w:u w:val="single" w:color="0562C1"/>
          </w:rPr>
          <w:t>ASNInclusionEquityWellbeing@aberdeenshire.gov.uk</w:t>
        </w:r>
      </w:hyperlink>
    </w:p>
    <w:p w14:paraId="1237EAD2" w14:textId="77777777" w:rsidR="007F0771" w:rsidRDefault="007F0771">
      <w:pPr>
        <w:pStyle w:val="BodyText"/>
        <w:spacing w:before="9"/>
        <w:rPr>
          <w:sz w:val="19"/>
        </w:rPr>
      </w:pPr>
    </w:p>
    <w:p w14:paraId="1237EAD3" w14:textId="77777777" w:rsidR="007F0771" w:rsidRDefault="00B435FF">
      <w:pPr>
        <w:pStyle w:val="BodyText"/>
        <w:spacing w:before="52"/>
        <w:ind w:left="120"/>
      </w:pPr>
      <w:r>
        <w:t>Specialist Moving and Handling Advice / Guidance</w:t>
      </w:r>
    </w:p>
    <w:p w14:paraId="1237EAD4" w14:textId="77585F42" w:rsidR="007F0771" w:rsidRDefault="00B435FF">
      <w:pPr>
        <w:pStyle w:val="BodyText"/>
        <w:ind w:left="120" w:right="150"/>
      </w:pPr>
      <w:r>
        <w:t xml:space="preserve">There is a Relief Moving and Handling Trainer who can be requested by completing </w:t>
      </w:r>
      <w:r w:rsidR="0072551A">
        <w:t xml:space="preserve">a form which is located </w:t>
      </w:r>
      <w:hyperlink r:id="rId21" w:history="1">
        <w:r w:rsidR="00585F93">
          <w:rPr>
            <w:rStyle w:val="Hyperlink"/>
          </w:rPr>
          <w:t>Additional Support Needs (ASN) Aberdeenshire, Inclusion, Equity and Wellbeing (asn-aberdeenshire.org)</w:t>
        </w:r>
      </w:hyperlink>
      <w:r>
        <w:rPr>
          <w:color w:val="0562C1"/>
        </w:rPr>
        <w:t xml:space="preserve"> </w:t>
      </w:r>
      <w:r>
        <w:t>and sending</w:t>
      </w:r>
      <w:r w:rsidR="00585F93">
        <w:t xml:space="preserve"> the completed form</w:t>
      </w:r>
      <w:r>
        <w:t xml:space="preserve"> to: </w:t>
      </w:r>
      <w:hyperlink r:id="rId22">
        <w:r>
          <w:rPr>
            <w:color w:val="0562C1"/>
            <w:u w:val="single" w:color="0562C1"/>
          </w:rPr>
          <w:t>ASNInclusionEquityWellbeing@aberdeenshire.gov.uk</w:t>
        </w:r>
        <w:r>
          <w:rPr>
            <w:color w:val="0562C1"/>
          </w:rPr>
          <w:t xml:space="preserve"> </w:t>
        </w:r>
      </w:hyperlink>
      <w:r>
        <w:t xml:space="preserve">Requests of this nature would include: advice sought regarding a </w:t>
      </w:r>
      <w:r>
        <w:rPr>
          <w:u w:val="single"/>
        </w:rPr>
        <w:t>specific</w:t>
      </w:r>
      <w:r>
        <w:t xml:space="preserve"> pupil, sizing of slings, </w:t>
      </w:r>
      <w:r>
        <w:rPr>
          <w:u w:val="single"/>
        </w:rPr>
        <w:t>specific</w:t>
      </w:r>
      <w:r>
        <w:t xml:space="preserve"> pupil advice sought on equipment, </w:t>
      </w:r>
      <w:r>
        <w:rPr>
          <w:u w:val="single"/>
        </w:rPr>
        <w:t>specific</w:t>
      </w:r>
      <w:r>
        <w:t xml:space="preserve"> pupil advice on the Pupil Moving and Handling Plan and Pupil Moving and Handling Risk Assessment. This would</w:t>
      </w:r>
      <w:r>
        <w:rPr>
          <w:u w:val="single"/>
        </w:rPr>
        <w:t xml:space="preserve"> not</w:t>
      </w:r>
      <w:r>
        <w:t xml:space="preserve"> include </w:t>
      </w:r>
      <w:r w:rsidR="008E11EA">
        <w:t>requesting</w:t>
      </w:r>
      <w:r>
        <w:t xml:space="preserve"> training to a staff group which would be sought through ALDO.</w:t>
      </w:r>
    </w:p>
    <w:p w14:paraId="1237EAD5" w14:textId="77777777" w:rsidR="007F0771" w:rsidRDefault="007F0771">
      <w:pPr>
        <w:pStyle w:val="BodyText"/>
        <w:spacing w:before="1"/>
      </w:pPr>
    </w:p>
    <w:p w14:paraId="1237EAD6" w14:textId="77777777" w:rsidR="007F0771" w:rsidRDefault="00B435FF">
      <w:pPr>
        <w:pStyle w:val="BodyText"/>
        <w:ind w:left="120"/>
      </w:pPr>
      <w:r>
        <w:t>Underpinning Legislation</w:t>
      </w:r>
    </w:p>
    <w:p w14:paraId="1237EAD7" w14:textId="77777777" w:rsidR="007F0771" w:rsidRDefault="00000000">
      <w:pPr>
        <w:pStyle w:val="BodyText"/>
        <w:ind w:left="120" w:right="240"/>
      </w:pPr>
      <w:r>
        <w:pict w14:anchorId="1237EAF0">
          <v:rect id="_x0000_s2050" style="position:absolute;left:0;text-align:left;margin-left:215.5pt;margin-top:71.55pt;width:3.6pt;height:.6pt;z-index:251658241;mso-position-horizontal-relative:page" fillcolor="#0562c1" stroked="f">
            <w10:wrap anchorx="page"/>
          </v:rect>
        </w:pict>
      </w:r>
      <w:r w:rsidR="00B435FF">
        <w:t xml:space="preserve">A proportionate and sensible approach is required to planning and organising activities for children and young people with additional support needs for whom physical assistance is necessary from adult supporters. The following legislation relates to the fundamental rights of the child as enshrined in law and must be considered when planning for needs </w:t>
      </w:r>
      <w:r w:rsidR="00B435FF">
        <w:rPr>
          <w:color w:val="647B9C"/>
        </w:rPr>
        <w:t>(</w:t>
      </w:r>
      <w:hyperlink r:id="rId23">
        <w:r w:rsidR="00B435FF">
          <w:rPr>
            <w:color w:val="647B9C"/>
            <w:u w:val="single" w:color="647B9C"/>
          </w:rPr>
          <w:t>Getting It</w:t>
        </w:r>
      </w:hyperlink>
      <w:r w:rsidR="00B435FF">
        <w:rPr>
          <w:color w:val="647B9C"/>
        </w:rPr>
        <w:t xml:space="preserve"> </w:t>
      </w:r>
      <w:hyperlink r:id="rId24">
        <w:r w:rsidR="00B435FF">
          <w:rPr>
            <w:color w:val="647B9C"/>
            <w:u w:val="single" w:color="647B9C"/>
          </w:rPr>
          <w:t>Right For Every Child - GIRFEC</w:t>
        </w:r>
        <w:r w:rsidR="00B435FF">
          <w:rPr>
            <w:color w:val="0562C1"/>
          </w:rPr>
          <w:t xml:space="preserve">) </w:t>
        </w:r>
      </w:hyperlink>
      <w:r w:rsidR="00B435FF">
        <w:t>and balanced against risk:</w:t>
      </w:r>
    </w:p>
    <w:p w14:paraId="1237EAD8" w14:textId="77777777" w:rsidR="007F0771" w:rsidRDefault="00000000">
      <w:pPr>
        <w:pStyle w:val="ListParagraph"/>
        <w:numPr>
          <w:ilvl w:val="0"/>
          <w:numId w:val="1"/>
        </w:numPr>
        <w:tabs>
          <w:tab w:val="left" w:pos="839"/>
          <w:tab w:val="left" w:pos="840"/>
        </w:tabs>
        <w:spacing w:before="94"/>
        <w:rPr>
          <w:rFonts w:ascii="Symbol" w:hAnsi="Symbol"/>
          <w:color w:val="647B9C"/>
          <w:sz w:val="24"/>
          <w:u w:val="none"/>
        </w:rPr>
      </w:pPr>
      <w:hyperlink r:id="rId25">
        <w:r w:rsidR="00B435FF">
          <w:rPr>
            <w:color w:val="647B9C"/>
            <w:sz w:val="24"/>
            <w:u w:color="647B9C"/>
          </w:rPr>
          <w:t>United Nations Convention on the Rights of the</w:t>
        </w:r>
        <w:r w:rsidR="00B435FF">
          <w:rPr>
            <w:color w:val="647B9C"/>
            <w:spacing w:val="-3"/>
            <w:sz w:val="24"/>
            <w:u w:color="647B9C"/>
          </w:rPr>
          <w:t xml:space="preserve"> </w:t>
        </w:r>
        <w:r w:rsidR="00B435FF">
          <w:rPr>
            <w:color w:val="647B9C"/>
            <w:sz w:val="24"/>
            <w:u w:color="647B9C"/>
          </w:rPr>
          <w:t>Child</w:t>
        </w:r>
      </w:hyperlink>
    </w:p>
    <w:p w14:paraId="1237EAD9" w14:textId="77777777" w:rsidR="007F0771" w:rsidRDefault="00000000">
      <w:pPr>
        <w:pStyle w:val="ListParagraph"/>
        <w:numPr>
          <w:ilvl w:val="0"/>
          <w:numId w:val="1"/>
        </w:numPr>
        <w:tabs>
          <w:tab w:val="left" w:pos="839"/>
          <w:tab w:val="left" w:pos="840"/>
        </w:tabs>
        <w:spacing w:before="93"/>
        <w:rPr>
          <w:rFonts w:ascii="Symbol" w:hAnsi="Symbol"/>
          <w:color w:val="647B9C"/>
          <w:sz w:val="24"/>
          <w:u w:val="none"/>
        </w:rPr>
      </w:pPr>
      <w:hyperlink r:id="rId26">
        <w:r w:rsidR="00B435FF">
          <w:rPr>
            <w:color w:val="647B9C"/>
            <w:sz w:val="24"/>
            <w:u w:color="647B9C"/>
          </w:rPr>
          <w:t>United Nation Convention on the Rights of Persons with</w:t>
        </w:r>
        <w:r w:rsidR="00B435FF">
          <w:rPr>
            <w:color w:val="647B9C"/>
            <w:spacing w:val="-4"/>
            <w:sz w:val="24"/>
            <w:u w:color="647B9C"/>
          </w:rPr>
          <w:t xml:space="preserve"> </w:t>
        </w:r>
        <w:r w:rsidR="00B435FF">
          <w:rPr>
            <w:color w:val="647B9C"/>
            <w:sz w:val="24"/>
            <w:u w:color="647B9C"/>
          </w:rPr>
          <w:t>Disabilities.</w:t>
        </w:r>
      </w:hyperlink>
    </w:p>
    <w:p w14:paraId="1237EADA" w14:textId="77777777" w:rsidR="007F0771" w:rsidRDefault="00000000">
      <w:pPr>
        <w:pStyle w:val="ListParagraph"/>
        <w:numPr>
          <w:ilvl w:val="0"/>
          <w:numId w:val="1"/>
        </w:numPr>
        <w:tabs>
          <w:tab w:val="left" w:pos="839"/>
          <w:tab w:val="left" w:pos="840"/>
        </w:tabs>
        <w:rPr>
          <w:rFonts w:ascii="Symbol" w:hAnsi="Symbol"/>
          <w:color w:val="647B9C"/>
          <w:sz w:val="24"/>
          <w:u w:val="none"/>
        </w:rPr>
      </w:pPr>
      <w:hyperlink r:id="rId27">
        <w:r w:rsidR="00B435FF">
          <w:rPr>
            <w:color w:val="647B9C"/>
            <w:sz w:val="24"/>
            <w:u w:color="647B9C"/>
          </w:rPr>
          <w:t>Children and Young People (Scotland) Act</w:t>
        </w:r>
        <w:r w:rsidR="00B435FF">
          <w:rPr>
            <w:color w:val="647B9C"/>
            <w:spacing w:val="-4"/>
            <w:sz w:val="24"/>
            <w:u w:color="647B9C"/>
          </w:rPr>
          <w:t xml:space="preserve"> </w:t>
        </w:r>
        <w:r w:rsidR="00B435FF">
          <w:rPr>
            <w:color w:val="647B9C"/>
            <w:sz w:val="24"/>
            <w:u w:color="647B9C"/>
          </w:rPr>
          <w:t>2014</w:t>
        </w:r>
      </w:hyperlink>
    </w:p>
    <w:p w14:paraId="1237EADB" w14:textId="77777777" w:rsidR="007F0771" w:rsidRDefault="00000000">
      <w:pPr>
        <w:pStyle w:val="ListParagraph"/>
        <w:numPr>
          <w:ilvl w:val="0"/>
          <w:numId w:val="1"/>
        </w:numPr>
        <w:tabs>
          <w:tab w:val="left" w:pos="839"/>
          <w:tab w:val="left" w:pos="840"/>
        </w:tabs>
        <w:rPr>
          <w:rFonts w:ascii="Symbol" w:hAnsi="Symbol"/>
          <w:color w:val="647B9C"/>
          <w:sz w:val="24"/>
          <w:u w:val="none"/>
        </w:rPr>
      </w:pPr>
      <w:hyperlink r:id="rId28">
        <w:r w:rsidR="00B435FF">
          <w:rPr>
            <w:color w:val="647B9C"/>
            <w:sz w:val="24"/>
            <w:u w:color="647B9C"/>
          </w:rPr>
          <w:t>The Equality Act</w:t>
        </w:r>
        <w:r w:rsidR="00B435FF">
          <w:rPr>
            <w:color w:val="647B9C"/>
            <w:spacing w:val="-1"/>
            <w:sz w:val="24"/>
            <w:u w:color="647B9C"/>
          </w:rPr>
          <w:t xml:space="preserve"> </w:t>
        </w:r>
        <w:r w:rsidR="00B435FF">
          <w:rPr>
            <w:color w:val="647B9C"/>
            <w:sz w:val="24"/>
            <w:u w:color="647B9C"/>
          </w:rPr>
          <w:t>2010</w:t>
        </w:r>
      </w:hyperlink>
    </w:p>
    <w:p w14:paraId="1237EADC" w14:textId="77777777" w:rsidR="007F0771" w:rsidRDefault="007F0771">
      <w:pPr>
        <w:pStyle w:val="BodyText"/>
        <w:spacing w:before="5"/>
        <w:rPr>
          <w:sz w:val="15"/>
        </w:rPr>
      </w:pPr>
    </w:p>
    <w:p w14:paraId="1237EADD" w14:textId="77777777" w:rsidR="007F0771" w:rsidRDefault="00B435FF">
      <w:pPr>
        <w:pStyle w:val="BodyText"/>
        <w:spacing w:before="51"/>
        <w:ind w:left="120"/>
      </w:pPr>
      <w:r>
        <w:rPr>
          <w:color w:val="111111"/>
        </w:rPr>
        <w:t>Employers must ensure that staff are not required to perform tasks that puts them and the child/young person whom they are caring for, at risk. This legislation is relevant for assessing moving and handling risks and account must be taken to ensure safety of employees:</w:t>
      </w:r>
    </w:p>
    <w:p w14:paraId="1237EADE" w14:textId="77777777" w:rsidR="007F0771" w:rsidRDefault="007F0771">
      <w:pPr>
        <w:pStyle w:val="BodyText"/>
        <w:spacing w:before="5"/>
        <w:rPr>
          <w:sz w:val="27"/>
        </w:rPr>
      </w:pPr>
    </w:p>
    <w:p w14:paraId="1237EADF" w14:textId="77777777" w:rsidR="007F0771" w:rsidRDefault="00000000">
      <w:pPr>
        <w:pStyle w:val="ListParagraph"/>
        <w:numPr>
          <w:ilvl w:val="0"/>
          <w:numId w:val="1"/>
        </w:numPr>
        <w:tabs>
          <w:tab w:val="left" w:pos="839"/>
          <w:tab w:val="left" w:pos="840"/>
        </w:tabs>
        <w:spacing w:before="1"/>
        <w:rPr>
          <w:rFonts w:ascii="Symbol" w:hAnsi="Symbol"/>
          <w:color w:val="647B9C"/>
          <w:sz w:val="24"/>
          <w:u w:val="none"/>
        </w:rPr>
      </w:pPr>
      <w:hyperlink r:id="rId29">
        <w:r w:rsidR="00B435FF">
          <w:rPr>
            <w:color w:val="647B9C"/>
            <w:sz w:val="24"/>
            <w:u w:color="647B9C"/>
          </w:rPr>
          <w:t>Health and Safety at Work Act</w:t>
        </w:r>
        <w:r w:rsidR="00B435FF">
          <w:rPr>
            <w:color w:val="647B9C"/>
            <w:spacing w:val="3"/>
            <w:sz w:val="24"/>
            <w:u w:color="647B9C"/>
          </w:rPr>
          <w:t xml:space="preserve"> </w:t>
        </w:r>
        <w:r w:rsidR="00B435FF">
          <w:rPr>
            <w:color w:val="647B9C"/>
            <w:sz w:val="24"/>
            <w:u w:color="647B9C"/>
          </w:rPr>
          <w:t>1974</w:t>
        </w:r>
      </w:hyperlink>
    </w:p>
    <w:p w14:paraId="1237EAE0" w14:textId="77777777" w:rsidR="007F0771" w:rsidRDefault="00000000">
      <w:pPr>
        <w:pStyle w:val="ListParagraph"/>
        <w:numPr>
          <w:ilvl w:val="0"/>
          <w:numId w:val="1"/>
        </w:numPr>
        <w:tabs>
          <w:tab w:val="left" w:pos="839"/>
          <w:tab w:val="left" w:pos="840"/>
        </w:tabs>
        <w:spacing w:before="92"/>
        <w:rPr>
          <w:rFonts w:ascii="Symbol" w:hAnsi="Symbol"/>
          <w:color w:val="647B9C"/>
          <w:sz w:val="24"/>
          <w:u w:val="none"/>
        </w:rPr>
      </w:pPr>
      <w:hyperlink r:id="rId30">
        <w:r w:rsidR="00B435FF">
          <w:rPr>
            <w:color w:val="647B9C"/>
            <w:sz w:val="24"/>
            <w:u w:color="647B9C"/>
          </w:rPr>
          <w:t>Manual Handling Operations Regulations 1992 (amended</w:t>
        </w:r>
        <w:r w:rsidR="00B435FF">
          <w:rPr>
            <w:color w:val="647B9C"/>
            <w:spacing w:val="1"/>
            <w:sz w:val="24"/>
            <w:u w:color="647B9C"/>
          </w:rPr>
          <w:t xml:space="preserve"> </w:t>
        </w:r>
        <w:r w:rsidR="00B435FF">
          <w:rPr>
            <w:color w:val="647B9C"/>
            <w:sz w:val="24"/>
            <w:u w:color="647B9C"/>
          </w:rPr>
          <w:t>2002)</w:t>
        </w:r>
      </w:hyperlink>
    </w:p>
    <w:p w14:paraId="1237EAE1" w14:textId="77777777" w:rsidR="007F0771" w:rsidRDefault="00000000">
      <w:pPr>
        <w:pStyle w:val="ListParagraph"/>
        <w:numPr>
          <w:ilvl w:val="0"/>
          <w:numId w:val="1"/>
        </w:numPr>
        <w:tabs>
          <w:tab w:val="left" w:pos="839"/>
          <w:tab w:val="left" w:pos="840"/>
        </w:tabs>
        <w:rPr>
          <w:rFonts w:ascii="Symbol" w:hAnsi="Symbol"/>
          <w:color w:val="647B9C"/>
          <w:sz w:val="24"/>
          <w:u w:val="none"/>
        </w:rPr>
      </w:pPr>
      <w:hyperlink r:id="rId31">
        <w:r w:rsidR="00B435FF">
          <w:rPr>
            <w:color w:val="647B9C"/>
            <w:sz w:val="24"/>
            <w:u w:color="647B9C"/>
          </w:rPr>
          <w:t>Management of Health and Safety at Work Regulations</w:t>
        </w:r>
        <w:r w:rsidR="00B435FF">
          <w:rPr>
            <w:color w:val="647B9C"/>
            <w:spacing w:val="2"/>
            <w:sz w:val="24"/>
            <w:u w:color="647B9C"/>
          </w:rPr>
          <w:t xml:space="preserve"> </w:t>
        </w:r>
        <w:r w:rsidR="00B435FF">
          <w:rPr>
            <w:color w:val="647B9C"/>
            <w:sz w:val="24"/>
            <w:u w:color="647B9C"/>
          </w:rPr>
          <w:t>1999</w:t>
        </w:r>
      </w:hyperlink>
    </w:p>
    <w:p w14:paraId="1237EAE2" w14:textId="77777777" w:rsidR="007F0771" w:rsidRDefault="00000000">
      <w:pPr>
        <w:pStyle w:val="ListParagraph"/>
        <w:numPr>
          <w:ilvl w:val="0"/>
          <w:numId w:val="1"/>
        </w:numPr>
        <w:tabs>
          <w:tab w:val="left" w:pos="839"/>
          <w:tab w:val="left" w:pos="840"/>
        </w:tabs>
        <w:rPr>
          <w:rFonts w:ascii="Symbol" w:hAnsi="Symbol"/>
          <w:color w:val="647B9C"/>
          <w:sz w:val="24"/>
          <w:u w:val="none"/>
        </w:rPr>
      </w:pPr>
      <w:hyperlink r:id="rId32">
        <w:r w:rsidR="00B435FF">
          <w:rPr>
            <w:color w:val="647B9C"/>
            <w:sz w:val="24"/>
            <w:u w:color="647B9C"/>
          </w:rPr>
          <w:t>Provision and Use of Work Equipment Regulations</w:t>
        </w:r>
        <w:r w:rsidR="00B435FF">
          <w:rPr>
            <w:color w:val="647B9C"/>
            <w:spacing w:val="-6"/>
            <w:sz w:val="24"/>
            <w:u w:color="647B9C"/>
          </w:rPr>
          <w:t xml:space="preserve"> </w:t>
        </w:r>
        <w:r w:rsidR="00B435FF">
          <w:rPr>
            <w:color w:val="647B9C"/>
            <w:sz w:val="24"/>
            <w:u w:color="647B9C"/>
          </w:rPr>
          <w:t>1998</w:t>
        </w:r>
      </w:hyperlink>
    </w:p>
    <w:p w14:paraId="1237EAE3" w14:textId="77777777" w:rsidR="007F0771" w:rsidRDefault="00000000">
      <w:pPr>
        <w:pStyle w:val="ListParagraph"/>
        <w:numPr>
          <w:ilvl w:val="0"/>
          <w:numId w:val="1"/>
        </w:numPr>
        <w:tabs>
          <w:tab w:val="left" w:pos="839"/>
          <w:tab w:val="left" w:pos="840"/>
        </w:tabs>
        <w:rPr>
          <w:rFonts w:ascii="Symbol" w:hAnsi="Symbol"/>
          <w:color w:val="647B9C"/>
          <w:sz w:val="24"/>
          <w:u w:val="none"/>
        </w:rPr>
      </w:pPr>
      <w:hyperlink r:id="rId33">
        <w:r w:rsidR="00B435FF">
          <w:rPr>
            <w:color w:val="647B9C"/>
            <w:sz w:val="24"/>
            <w:u w:color="647B9C"/>
          </w:rPr>
          <w:t>Lifting Operations and Lifting Equipment Regulations 1998</w:t>
        </w:r>
      </w:hyperlink>
    </w:p>
    <w:p w14:paraId="1237EAE4" w14:textId="77777777" w:rsidR="007F0771" w:rsidRDefault="007F0771">
      <w:pPr>
        <w:pStyle w:val="BodyText"/>
        <w:spacing w:before="3"/>
        <w:rPr>
          <w:sz w:val="15"/>
        </w:rPr>
      </w:pPr>
    </w:p>
    <w:p w14:paraId="06D32D56" w14:textId="06CF097C" w:rsidR="008E11EA" w:rsidRDefault="00B435FF" w:rsidP="008E11EA">
      <w:pPr>
        <w:pStyle w:val="BodyText"/>
        <w:spacing w:before="41"/>
        <w:ind w:left="119" w:right="272"/>
      </w:pPr>
      <w:r>
        <w:t xml:space="preserve">There is a statutory requirement for education authorities and their partners to work together to ensure the wellbeing needs of the child/young person as detailed in the </w:t>
      </w:r>
      <w:hyperlink r:id="rId34">
        <w:r>
          <w:rPr>
            <w:color w:val="0562C1"/>
            <w:u w:val="single" w:color="0562C1"/>
          </w:rPr>
          <w:t>Children</w:t>
        </w:r>
      </w:hyperlink>
      <w:r>
        <w:rPr>
          <w:color w:val="0562C1"/>
        </w:rPr>
        <w:t xml:space="preserve"> </w:t>
      </w:r>
      <w:hyperlink r:id="rId35">
        <w:r>
          <w:rPr>
            <w:color w:val="0562C1"/>
            <w:u w:val="single" w:color="0562C1"/>
          </w:rPr>
          <w:t>and Young People (Scotland) Act 2014</w:t>
        </w:r>
        <w:r>
          <w:t>.</w:t>
        </w:r>
      </w:hyperlink>
      <w:r>
        <w:t xml:space="preserve"> Allied Health Professional partners provide </w:t>
      </w:r>
      <w:r>
        <w:lastRenderedPageBreak/>
        <w:t xml:space="preserve">valuable support for children within school, to support their education, as relevant to their specific profession and expertise. The Scottish Government publication </w:t>
      </w:r>
      <w:hyperlink r:id="rId36">
        <w:r>
          <w:rPr>
            <w:color w:val="0562C1"/>
            <w:u w:val="single" w:color="0562C1"/>
          </w:rPr>
          <w:t>Ready to Act 2016</w:t>
        </w:r>
        <w:r>
          <w:rPr>
            <w:color w:val="0562C1"/>
          </w:rPr>
          <w:t xml:space="preserve"> </w:t>
        </w:r>
      </w:hyperlink>
      <w:r>
        <w:t>supports</w:t>
      </w:r>
      <w:r w:rsidR="008E11EA" w:rsidRPr="008E11EA">
        <w:t xml:space="preserve"> </w:t>
      </w:r>
      <w:r w:rsidR="008E11EA">
        <w:t xml:space="preserve">Allied Health Professionals in their duties in relation to the Children and Young People (Scotland) Act 2014, </w:t>
      </w:r>
      <w:hyperlink r:id="rId37">
        <w:r w:rsidR="008E11EA">
          <w:rPr>
            <w:color w:val="0562C1"/>
            <w:u w:val="single" w:color="0562C1"/>
          </w:rPr>
          <w:t>Getting it Right for Every Child</w:t>
        </w:r>
        <w:r w:rsidR="008E11EA">
          <w:rPr>
            <w:color w:val="0562C1"/>
          </w:rPr>
          <w:t xml:space="preserve"> </w:t>
        </w:r>
      </w:hyperlink>
      <w:r w:rsidR="008E11EA">
        <w:t xml:space="preserve">( GIRFEC), Raising Attainment for All and outcomes relating to the </w:t>
      </w:r>
      <w:hyperlink r:id="rId38">
        <w:r w:rsidR="008E11EA">
          <w:rPr>
            <w:color w:val="0562C1"/>
            <w:u w:val="single" w:color="0562C1"/>
          </w:rPr>
          <w:t>Education (Scotland) Bill</w:t>
        </w:r>
      </w:hyperlink>
      <w:r w:rsidR="008E11EA">
        <w:t xml:space="preserve">. Strong partnership-working and collaboration across services, with involvement of children, young people, their parents, </w:t>
      </w:r>
      <w:proofErr w:type="gramStart"/>
      <w:r w:rsidR="008E11EA">
        <w:t>carers</w:t>
      </w:r>
      <w:proofErr w:type="gramEnd"/>
      <w:r w:rsidR="008E11EA">
        <w:t xml:space="preserve"> and families, are necessary to achieve effective health and well-being outcomes.</w:t>
      </w:r>
    </w:p>
    <w:p w14:paraId="6E7EF962" w14:textId="77777777" w:rsidR="008E11EA" w:rsidRDefault="008E11EA" w:rsidP="008E11EA">
      <w:pPr>
        <w:pStyle w:val="BodyText"/>
        <w:spacing w:before="11"/>
        <w:rPr>
          <w:sz w:val="23"/>
        </w:rPr>
      </w:pPr>
    </w:p>
    <w:p w14:paraId="183206D6" w14:textId="593B33AD" w:rsidR="008E11EA" w:rsidRDefault="00434ED7" w:rsidP="008E11EA">
      <w:pPr>
        <w:pStyle w:val="BodyText"/>
        <w:ind w:left="120"/>
      </w:pPr>
      <w:r>
        <w:t xml:space="preserve">Moving and Handling </w:t>
      </w:r>
      <w:r w:rsidR="008E11EA">
        <w:t>Appendices</w:t>
      </w:r>
      <w:r>
        <w:t xml:space="preserve"> can be found</w:t>
      </w:r>
      <w:r w:rsidR="008E11EA">
        <w:t>:</w:t>
      </w:r>
      <w:r>
        <w:t xml:space="preserve"> </w:t>
      </w:r>
      <w:hyperlink r:id="rId39" w:history="1">
        <w:r w:rsidR="00B66960">
          <w:rPr>
            <w:rStyle w:val="Hyperlink"/>
          </w:rPr>
          <w:t>Additional Support Needs (ASN) Aberdeenshire, Inclusion, Equity and Wellbeing (asn-aberdeenshire.org)</w:t>
        </w:r>
      </w:hyperlink>
    </w:p>
    <w:p w14:paraId="4A8162A3" w14:textId="77777777" w:rsidR="007F0771" w:rsidRDefault="00434ED7" w:rsidP="008E11EA">
      <w:pPr>
        <w:pStyle w:val="BodyText"/>
        <w:spacing w:before="52"/>
        <w:ind w:left="120" w:right="192"/>
      </w:pPr>
      <w:r>
        <w:t xml:space="preserve"> </w:t>
      </w:r>
    </w:p>
    <w:p w14:paraId="232D8699" w14:textId="77777777" w:rsidR="00CE6554" w:rsidRDefault="00CE6554" w:rsidP="008E11EA">
      <w:pPr>
        <w:pStyle w:val="BodyText"/>
        <w:spacing w:before="52"/>
        <w:ind w:left="120" w:right="192"/>
      </w:pPr>
    </w:p>
    <w:p w14:paraId="75B262B2" w14:textId="77777777" w:rsidR="00CE6554" w:rsidRDefault="00CE6554" w:rsidP="008E11EA">
      <w:pPr>
        <w:pStyle w:val="BodyText"/>
        <w:spacing w:before="52"/>
        <w:ind w:left="120" w:right="192"/>
      </w:pPr>
    </w:p>
    <w:p w14:paraId="146BF120" w14:textId="77777777" w:rsidR="00CE6554" w:rsidRDefault="00CE6554" w:rsidP="008E11EA">
      <w:pPr>
        <w:pStyle w:val="BodyText"/>
        <w:spacing w:before="52"/>
        <w:ind w:left="120" w:right="192"/>
      </w:pPr>
    </w:p>
    <w:p w14:paraId="158809DD" w14:textId="77777777" w:rsidR="00CE6554" w:rsidRDefault="00CE6554" w:rsidP="008E11EA">
      <w:pPr>
        <w:pStyle w:val="BodyText"/>
        <w:spacing w:before="52"/>
        <w:ind w:left="120" w:right="192"/>
      </w:pPr>
    </w:p>
    <w:p w14:paraId="596DB8CA" w14:textId="77777777" w:rsidR="00CE6554" w:rsidRDefault="00CE6554" w:rsidP="008E11EA">
      <w:pPr>
        <w:pStyle w:val="BodyText"/>
        <w:spacing w:before="52"/>
        <w:ind w:left="120" w:right="192"/>
      </w:pPr>
    </w:p>
    <w:p w14:paraId="6259A03A" w14:textId="77777777" w:rsidR="00CE6554" w:rsidRDefault="00CE6554" w:rsidP="008E11EA">
      <w:pPr>
        <w:pStyle w:val="BodyText"/>
        <w:spacing w:before="52"/>
        <w:ind w:left="120" w:right="192"/>
      </w:pPr>
    </w:p>
    <w:p w14:paraId="6C5BAC02" w14:textId="77777777" w:rsidR="00CE6554" w:rsidRDefault="00CE6554" w:rsidP="008E11EA">
      <w:pPr>
        <w:pStyle w:val="BodyText"/>
        <w:spacing w:before="52"/>
        <w:ind w:left="120" w:right="192"/>
      </w:pPr>
    </w:p>
    <w:p w14:paraId="79AB792C" w14:textId="77777777" w:rsidR="00CE6554" w:rsidRDefault="00CE6554" w:rsidP="008E11EA">
      <w:pPr>
        <w:pStyle w:val="BodyText"/>
        <w:spacing w:before="52"/>
        <w:ind w:left="120" w:right="192"/>
      </w:pPr>
    </w:p>
    <w:p w14:paraId="425FC940" w14:textId="77777777" w:rsidR="00CE6554" w:rsidRDefault="00CE6554" w:rsidP="008E11EA">
      <w:pPr>
        <w:pStyle w:val="BodyText"/>
        <w:spacing w:before="52"/>
        <w:ind w:left="120" w:right="192"/>
      </w:pPr>
    </w:p>
    <w:p w14:paraId="10105F21" w14:textId="77777777" w:rsidR="00CE6554" w:rsidRDefault="00CE6554" w:rsidP="008E11EA">
      <w:pPr>
        <w:pStyle w:val="BodyText"/>
        <w:spacing w:before="52"/>
        <w:ind w:left="120" w:right="192"/>
      </w:pPr>
    </w:p>
    <w:p w14:paraId="23EEE44D" w14:textId="77777777" w:rsidR="00CE6554" w:rsidRDefault="00CE6554" w:rsidP="008E11EA">
      <w:pPr>
        <w:pStyle w:val="BodyText"/>
        <w:spacing w:before="52"/>
        <w:ind w:left="120" w:right="192"/>
      </w:pPr>
    </w:p>
    <w:p w14:paraId="3AA8027C" w14:textId="77777777" w:rsidR="00D34F4F" w:rsidRDefault="00D34F4F" w:rsidP="008E11EA">
      <w:pPr>
        <w:pStyle w:val="BodyText"/>
        <w:spacing w:before="52"/>
        <w:ind w:left="120" w:right="192"/>
      </w:pPr>
    </w:p>
    <w:p w14:paraId="2C4F681C" w14:textId="77777777" w:rsidR="00D34F4F" w:rsidRDefault="00D34F4F" w:rsidP="008E11EA">
      <w:pPr>
        <w:pStyle w:val="BodyText"/>
        <w:spacing w:before="52"/>
        <w:ind w:left="120" w:right="192"/>
        <w:rPr>
          <w:b/>
          <w:bCs/>
        </w:rPr>
      </w:pPr>
    </w:p>
    <w:p w14:paraId="7713AC32" w14:textId="77777777" w:rsidR="00D34F4F" w:rsidRDefault="00D34F4F" w:rsidP="008E11EA">
      <w:pPr>
        <w:pStyle w:val="BodyText"/>
        <w:spacing w:before="52"/>
        <w:ind w:left="120" w:right="192"/>
        <w:rPr>
          <w:b/>
          <w:bCs/>
        </w:rPr>
      </w:pPr>
    </w:p>
    <w:p w14:paraId="515BE02D" w14:textId="77777777" w:rsidR="00D34F4F" w:rsidRDefault="00D34F4F" w:rsidP="008E11EA">
      <w:pPr>
        <w:pStyle w:val="BodyText"/>
        <w:spacing w:before="52"/>
        <w:ind w:left="120" w:right="192"/>
        <w:rPr>
          <w:b/>
          <w:bCs/>
        </w:rPr>
      </w:pPr>
    </w:p>
    <w:p w14:paraId="2F143D4F" w14:textId="77777777" w:rsidR="00D34F4F" w:rsidRDefault="00D34F4F" w:rsidP="008E11EA">
      <w:pPr>
        <w:pStyle w:val="BodyText"/>
        <w:spacing w:before="52"/>
        <w:ind w:left="120" w:right="192"/>
        <w:rPr>
          <w:b/>
          <w:bCs/>
        </w:rPr>
      </w:pPr>
    </w:p>
    <w:p w14:paraId="07154118" w14:textId="77777777" w:rsidR="00D34F4F" w:rsidRDefault="00D34F4F" w:rsidP="008E11EA">
      <w:pPr>
        <w:pStyle w:val="BodyText"/>
        <w:spacing w:before="52"/>
        <w:ind w:left="120" w:right="192"/>
        <w:rPr>
          <w:b/>
          <w:bCs/>
        </w:rPr>
      </w:pPr>
    </w:p>
    <w:p w14:paraId="1C118809" w14:textId="77777777" w:rsidR="00D34F4F" w:rsidRDefault="00D34F4F" w:rsidP="008E11EA">
      <w:pPr>
        <w:pStyle w:val="BodyText"/>
        <w:spacing w:before="52"/>
        <w:ind w:left="120" w:right="192"/>
        <w:rPr>
          <w:b/>
          <w:bCs/>
        </w:rPr>
      </w:pPr>
    </w:p>
    <w:p w14:paraId="7A3FDDA6" w14:textId="77777777" w:rsidR="00D34F4F" w:rsidRDefault="00D34F4F" w:rsidP="008E11EA">
      <w:pPr>
        <w:pStyle w:val="BodyText"/>
        <w:spacing w:before="52"/>
        <w:ind w:left="120" w:right="192"/>
        <w:rPr>
          <w:b/>
          <w:bCs/>
        </w:rPr>
      </w:pPr>
    </w:p>
    <w:p w14:paraId="19D2702F" w14:textId="77777777" w:rsidR="00D34F4F" w:rsidRDefault="00D34F4F" w:rsidP="008E11EA">
      <w:pPr>
        <w:pStyle w:val="BodyText"/>
        <w:spacing w:before="52"/>
        <w:ind w:left="120" w:right="192"/>
        <w:rPr>
          <w:b/>
          <w:bCs/>
        </w:rPr>
      </w:pPr>
    </w:p>
    <w:p w14:paraId="149F4F8D" w14:textId="77777777" w:rsidR="00D34F4F" w:rsidRDefault="00D34F4F" w:rsidP="008E11EA">
      <w:pPr>
        <w:pStyle w:val="BodyText"/>
        <w:spacing w:before="52"/>
        <w:ind w:left="120" w:right="192"/>
        <w:rPr>
          <w:b/>
          <w:bCs/>
        </w:rPr>
      </w:pPr>
    </w:p>
    <w:p w14:paraId="3AEFF419" w14:textId="77777777" w:rsidR="00D34F4F" w:rsidRDefault="00D34F4F" w:rsidP="008E11EA">
      <w:pPr>
        <w:pStyle w:val="BodyText"/>
        <w:spacing w:before="52"/>
        <w:ind w:left="120" w:right="192"/>
        <w:rPr>
          <w:b/>
          <w:bCs/>
        </w:rPr>
      </w:pPr>
    </w:p>
    <w:p w14:paraId="1C77651B" w14:textId="3EBB8527" w:rsidR="00CE6554" w:rsidRPr="00D34F4F" w:rsidRDefault="00950C35" w:rsidP="008E11EA">
      <w:pPr>
        <w:pStyle w:val="BodyText"/>
        <w:spacing w:before="52"/>
        <w:ind w:left="120" w:right="192"/>
        <w:rPr>
          <w:b/>
          <w:bCs/>
        </w:rPr>
      </w:pPr>
      <w:r w:rsidRPr="00D34F4F">
        <w:rPr>
          <w:b/>
          <w:bCs/>
        </w:rPr>
        <w:t xml:space="preserve">Guidance: Pupil Moving </w:t>
      </w:r>
      <w:r w:rsidR="007A5090" w:rsidRPr="00D34F4F">
        <w:rPr>
          <w:b/>
          <w:bCs/>
        </w:rPr>
        <w:t>and</w:t>
      </w:r>
      <w:r w:rsidRPr="00D34F4F">
        <w:rPr>
          <w:b/>
          <w:bCs/>
        </w:rPr>
        <w:t xml:space="preserve"> Handling in Schools</w:t>
      </w:r>
      <w:r w:rsidR="007A5090" w:rsidRPr="00D34F4F">
        <w:rPr>
          <w:b/>
          <w:bCs/>
        </w:rPr>
        <w:t xml:space="preserve"> Update Information:</w:t>
      </w:r>
    </w:p>
    <w:p w14:paraId="5B380163" w14:textId="77777777" w:rsidR="007A5090" w:rsidRDefault="007A5090" w:rsidP="008E11EA">
      <w:pPr>
        <w:pStyle w:val="BodyText"/>
        <w:spacing w:before="52"/>
        <w:ind w:left="120" w:right="192"/>
      </w:pPr>
    </w:p>
    <w:tbl>
      <w:tblPr>
        <w:tblStyle w:val="TableGrid"/>
        <w:tblW w:w="0" w:type="auto"/>
        <w:tblInd w:w="120" w:type="dxa"/>
        <w:tblLook w:val="04A0" w:firstRow="1" w:lastRow="0" w:firstColumn="1" w:lastColumn="0" w:noHBand="0" w:noVBand="1"/>
      </w:tblPr>
      <w:tblGrid>
        <w:gridCol w:w="1548"/>
        <w:gridCol w:w="1701"/>
        <w:gridCol w:w="2126"/>
        <w:gridCol w:w="3685"/>
      </w:tblGrid>
      <w:tr w:rsidR="00676500" w14:paraId="1331DCFA" w14:textId="4416B84F" w:rsidTr="00676500">
        <w:tc>
          <w:tcPr>
            <w:tcW w:w="1548" w:type="dxa"/>
            <w:shd w:val="clear" w:color="auto" w:fill="8DB3E2" w:themeFill="text2" w:themeFillTint="66"/>
          </w:tcPr>
          <w:p w14:paraId="72E58533" w14:textId="236A2B88" w:rsidR="00676500" w:rsidRDefault="00676500" w:rsidP="008E11EA">
            <w:pPr>
              <w:pStyle w:val="BodyText"/>
              <w:spacing w:before="52"/>
              <w:ind w:right="192"/>
            </w:pPr>
            <w:r>
              <w:t>Version</w:t>
            </w:r>
          </w:p>
        </w:tc>
        <w:tc>
          <w:tcPr>
            <w:tcW w:w="1701" w:type="dxa"/>
            <w:shd w:val="clear" w:color="auto" w:fill="8DB3E2" w:themeFill="text2" w:themeFillTint="66"/>
          </w:tcPr>
          <w:p w14:paraId="6A33DD60" w14:textId="6634B931" w:rsidR="00676500" w:rsidRDefault="00676500" w:rsidP="008E11EA">
            <w:pPr>
              <w:pStyle w:val="BodyText"/>
              <w:spacing w:before="52"/>
              <w:ind w:right="192"/>
            </w:pPr>
            <w:r>
              <w:t>Status</w:t>
            </w:r>
          </w:p>
        </w:tc>
        <w:tc>
          <w:tcPr>
            <w:tcW w:w="2126" w:type="dxa"/>
            <w:shd w:val="clear" w:color="auto" w:fill="8DB3E2" w:themeFill="text2" w:themeFillTint="66"/>
          </w:tcPr>
          <w:p w14:paraId="62C0A2C9" w14:textId="0BCD8CA4" w:rsidR="00676500" w:rsidRDefault="00676500" w:rsidP="008E11EA">
            <w:pPr>
              <w:pStyle w:val="BodyText"/>
              <w:spacing w:before="52"/>
              <w:ind w:right="192"/>
            </w:pPr>
            <w:r>
              <w:t>Date</w:t>
            </w:r>
          </w:p>
        </w:tc>
        <w:tc>
          <w:tcPr>
            <w:tcW w:w="3685" w:type="dxa"/>
            <w:shd w:val="clear" w:color="auto" w:fill="8DB3E2" w:themeFill="text2" w:themeFillTint="66"/>
          </w:tcPr>
          <w:p w14:paraId="36A9949A" w14:textId="5D52CE27" w:rsidR="00676500" w:rsidRDefault="00676500" w:rsidP="008E11EA">
            <w:pPr>
              <w:pStyle w:val="BodyText"/>
              <w:spacing w:before="52"/>
              <w:ind w:right="192"/>
            </w:pPr>
            <w:r>
              <w:t>Reason for Update</w:t>
            </w:r>
          </w:p>
        </w:tc>
      </w:tr>
      <w:tr w:rsidR="00676500" w14:paraId="40298B32" w14:textId="6EE526F0" w:rsidTr="00676500">
        <w:tc>
          <w:tcPr>
            <w:tcW w:w="1548" w:type="dxa"/>
          </w:tcPr>
          <w:p w14:paraId="7AF72222" w14:textId="3C9E1C01" w:rsidR="00676500" w:rsidRDefault="00676500" w:rsidP="008E11EA">
            <w:pPr>
              <w:pStyle w:val="BodyText"/>
              <w:spacing w:before="52"/>
              <w:ind w:right="192"/>
            </w:pPr>
            <w:r>
              <w:t>1.0</w:t>
            </w:r>
          </w:p>
        </w:tc>
        <w:tc>
          <w:tcPr>
            <w:tcW w:w="1701" w:type="dxa"/>
          </w:tcPr>
          <w:p w14:paraId="75E55ED8" w14:textId="5D63CA0E" w:rsidR="00676500" w:rsidRDefault="00676500" w:rsidP="008E11EA">
            <w:pPr>
              <w:pStyle w:val="BodyText"/>
              <w:spacing w:before="52"/>
              <w:ind w:right="192"/>
            </w:pPr>
            <w:r>
              <w:t>Guidance</w:t>
            </w:r>
          </w:p>
        </w:tc>
        <w:tc>
          <w:tcPr>
            <w:tcW w:w="2126" w:type="dxa"/>
          </w:tcPr>
          <w:p w14:paraId="7B748544" w14:textId="1790D5D0" w:rsidR="00676500" w:rsidRDefault="00676500" w:rsidP="008E11EA">
            <w:pPr>
              <w:pStyle w:val="BodyText"/>
              <w:spacing w:before="52"/>
              <w:ind w:right="192"/>
            </w:pPr>
            <w:r>
              <w:t>September 2022</w:t>
            </w:r>
          </w:p>
        </w:tc>
        <w:tc>
          <w:tcPr>
            <w:tcW w:w="3685" w:type="dxa"/>
          </w:tcPr>
          <w:p w14:paraId="6813BFC5" w14:textId="4DD41944" w:rsidR="00676500" w:rsidRDefault="00676500" w:rsidP="008E11EA">
            <w:pPr>
              <w:pStyle w:val="BodyText"/>
              <w:spacing w:before="52"/>
              <w:ind w:right="192"/>
            </w:pPr>
            <w:r>
              <w:t>New Guidance</w:t>
            </w:r>
          </w:p>
        </w:tc>
      </w:tr>
      <w:tr w:rsidR="00676500" w14:paraId="787E7FD3" w14:textId="77777777" w:rsidTr="00676500">
        <w:tc>
          <w:tcPr>
            <w:tcW w:w="1548" w:type="dxa"/>
          </w:tcPr>
          <w:p w14:paraId="4F7F5006" w14:textId="186B38AF" w:rsidR="00676500" w:rsidRDefault="00676500" w:rsidP="008E11EA">
            <w:pPr>
              <w:pStyle w:val="BodyText"/>
              <w:spacing w:before="52"/>
              <w:ind w:right="192"/>
            </w:pPr>
            <w:r>
              <w:t>1.2</w:t>
            </w:r>
          </w:p>
        </w:tc>
        <w:tc>
          <w:tcPr>
            <w:tcW w:w="1701" w:type="dxa"/>
          </w:tcPr>
          <w:p w14:paraId="622DC8AD" w14:textId="299CDC1A" w:rsidR="00676500" w:rsidRDefault="00676500" w:rsidP="008E11EA">
            <w:pPr>
              <w:pStyle w:val="BodyText"/>
              <w:spacing w:before="52"/>
              <w:ind w:right="192"/>
            </w:pPr>
            <w:r>
              <w:t>Guidance</w:t>
            </w:r>
          </w:p>
        </w:tc>
        <w:tc>
          <w:tcPr>
            <w:tcW w:w="2126" w:type="dxa"/>
          </w:tcPr>
          <w:p w14:paraId="11786E2A" w14:textId="7D21423B" w:rsidR="00676500" w:rsidRDefault="00D34F4F" w:rsidP="008E11EA">
            <w:pPr>
              <w:pStyle w:val="BodyText"/>
              <w:spacing w:before="52"/>
              <w:ind w:right="192"/>
            </w:pPr>
            <w:r>
              <w:t>October 2023</w:t>
            </w:r>
          </w:p>
        </w:tc>
        <w:tc>
          <w:tcPr>
            <w:tcW w:w="3685" w:type="dxa"/>
          </w:tcPr>
          <w:p w14:paraId="54270884" w14:textId="5D1F02E3" w:rsidR="00676500" w:rsidRDefault="00D34F4F" w:rsidP="008E11EA">
            <w:pPr>
              <w:pStyle w:val="BodyText"/>
              <w:spacing w:before="52"/>
              <w:ind w:right="192"/>
            </w:pPr>
            <w:r>
              <w:t>Update to Links</w:t>
            </w:r>
          </w:p>
        </w:tc>
      </w:tr>
      <w:tr w:rsidR="00676500" w14:paraId="29BD41A4" w14:textId="77777777" w:rsidTr="00676500">
        <w:tc>
          <w:tcPr>
            <w:tcW w:w="1548" w:type="dxa"/>
          </w:tcPr>
          <w:p w14:paraId="70D827A8" w14:textId="77777777" w:rsidR="00676500" w:rsidRDefault="00676500" w:rsidP="008E11EA">
            <w:pPr>
              <w:pStyle w:val="BodyText"/>
              <w:spacing w:before="52"/>
              <w:ind w:right="192"/>
            </w:pPr>
          </w:p>
        </w:tc>
        <w:tc>
          <w:tcPr>
            <w:tcW w:w="1701" w:type="dxa"/>
          </w:tcPr>
          <w:p w14:paraId="2F764FC5" w14:textId="77777777" w:rsidR="00676500" w:rsidRDefault="00676500" w:rsidP="008E11EA">
            <w:pPr>
              <w:pStyle w:val="BodyText"/>
              <w:spacing w:before="52"/>
              <w:ind w:right="192"/>
            </w:pPr>
          </w:p>
        </w:tc>
        <w:tc>
          <w:tcPr>
            <w:tcW w:w="2126" w:type="dxa"/>
          </w:tcPr>
          <w:p w14:paraId="68DEF63B" w14:textId="77777777" w:rsidR="00676500" w:rsidRDefault="00676500" w:rsidP="008E11EA">
            <w:pPr>
              <w:pStyle w:val="BodyText"/>
              <w:spacing w:before="52"/>
              <w:ind w:right="192"/>
            </w:pPr>
          </w:p>
        </w:tc>
        <w:tc>
          <w:tcPr>
            <w:tcW w:w="3685" w:type="dxa"/>
          </w:tcPr>
          <w:p w14:paraId="4C992214" w14:textId="77777777" w:rsidR="00676500" w:rsidRDefault="00676500" w:rsidP="008E11EA">
            <w:pPr>
              <w:pStyle w:val="BodyText"/>
              <w:spacing w:before="52"/>
              <w:ind w:right="192"/>
            </w:pPr>
          </w:p>
        </w:tc>
      </w:tr>
      <w:tr w:rsidR="00676500" w14:paraId="1BD2452B" w14:textId="77777777" w:rsidTr="00676500">
        <w:tc>
          <w:tcPr>
            <w:tcW w:w="1548" w:type="dxa"/>
          </w:tcPr>
          <w:p w14:paraId="67E4CCD9" w14:textId="77777777" w:rsidR="00676500" w:rsidRDefault="00676500" w:rsidP="008E11EA">
            <w:pPr>
              <w:pStyle w:val="BodyText"/>
              <w:spacing w:before="52"/>
              <w:ind w:right="192"/>
            </w:pPr>
          </w:p>
        </w:tc>
        <w:tc>
          <w:tcPr>
            <w:tcW w:w="1701" w:type="dxa"/>
          </w:tcPr>
          <w:p w14:paraId="4F9393D9" w14:textId="77777777" w:rsidR="00676500" w:rsidRDefault="00676500" w:rsidP="008E11EA">
            <w:pPr>
              <w:pStyle w:val="BodyText"/>
              <w:spacing w:before="52"/>
              <w:ind w:right="192"/>
            </w:pPr>
          </w:p>
        </w:tc>
        <w:tc>
          <w:tcPr>
            <w:tcW w:w="2126" w:type="dxa"/>
          </w:tcPr>
          <w:p w14:paraId="6B9BBEB3" w14:textId="77777777" w:rsidR="00676500" w:rsidRDefault="00676500" w:rsidP="008E11EA">
            <w:pPr>
              <w:pStyle w:val="BodyText"/>
              <w:spacing w:before="52"/>
              <w:ind w:right="192"/>
            </w:pPr>
          </w:p>
        </w:tc>
        <w:tc>
          <w:tcPr>
            <w:tcW w:w="3685" w:type="dxa"/>
          </w:tcPr>
          <w:p w14:paraId="50EFD52F" w14:textId="77777777" w:rsidR="00676500" w:rsidRDefault="00676500" w:rsidP="008E11EA">
            <w:pPr>
              <w:pStyle w:val="BodyText"/>
              <w:spacing w:before="52"/>
              <w:ind w:right="192"/>
            </w:pPr>
          </w:p>
        </w:tc>
      </w:tr>
      <w:tr w:rsidR="00676500" w14:paraId="3C5A2B56" w14:textId="77777777" w:rsidTr="00676500">
        <w:tc>
          <w:tcPr>
            <w:tcW w:w="1548" w:type="dxa"/>
          </w:tcPr>
          <w:p w14:paraId="13B25377" w14:textId="77777777" w:rsidR="00676500" w:rsidRDefault="00676500" w:rsidP="008E11EA">
            <w:pPr>
              <w:pStyle w:val="BodyText"/>
              <w:spacing w:before="52"/>
              <w:ind w:right="192"/>
            </w:pPr>
          </w:p>
        </w:tc>
        <w:tc>
          <w:tcPr>
            <w:tcW w:w="1701" w:type="dxa"/>
          </w:tcPr>
          <w:p w14:paraId="3B38CAC2" w14:textId="77777777" w:rsidR="00676500" w:rsidRDefault="00676500" w:rsidP="008E11EA">
            <w:pPr>
              <w:pStyle w:val="BodyText"/>
              <w:spacing w:before="52"/>
              <w:ind w:right="192"/>
            </w:pPr>
          </w:p>
        </w:tc>
        <w:tc>
          <w:tcPr>
            <w:tcW w:w="2126" w:type="dxa"/>
          </w:tcPr>
          <w:p w14:paraId="0CC735BE" w14:textId="77777777" w:rsidR="00676500" w:rsidRDefault="00676500" w:rsidP="008E11EA">
            <w:pPr>
              <w:pStyle w:val="BodyText"/>
              <w:spacing w:before="52"/>
              <w:ind w:right="192"/>
            </w:pPr>
          </w:p>
        </w:tc>
        <w:tc>
          <w:tcPr>
            <w:tcW w:w="3685" w:type="dxa"/>
          </w:tcPr>
          <w:p w14:paraId="51657584" w14:textId="77777777" w:rsidR="00676500" w:rsidRDefault="00676500" w:rsidP="008E11EA">
            <w:pPr>
              <w:pStyle w:val="BodyText"/>
              <w:spacing w:before="52"/>
              <w:ind w:right="192"/>
            </w:pPr>
          </w:p>
        </w:tc>
      </w:tr>
    </w:tbl>
    <w:p w14:paraId="1237EAE6" w14:textId="34DB8D58" w:rsidR="007A5090" w:rsidRDefault="007A5090" w:rsidP="008E11EA">
      <w:pPr>
        <w:pStyle w:val="BodyText"/>
        <w:spacing w:before="52"/>
        <w:ind w:left="120" w:right="192"/>
        <w:sectPr w:rsidR="007A5090" w:rsidSect="00B435FF">
          <w:pgSz w:w="11910" w:h="16840"/>
          <w:pgMar w:top="993" w:right="1340" w:bottom="280" w:left="1320" w:header="720" w:footer="720" w:gutter="0"/>
          <w:cols w:space="720"/>
        </w:sectPr>
      </w:pPr>
    </w:p>
    <w:p w14:paraId="1237EAEC" w14:textId="77777777" w:rsidR="007F0771" w:rsidRDefault="007F0771">
      <w:pPr>
        <w:sectPr w:rsidR="007F0771">
          <w:pgSz w:w="11910" w:h="16840"/>
          <w:pgMar w:top="1380" w:right="1340" w:bottom="280" w:left="1320" w:header="720" w:footer="720" w:gutter="0"/>
          <w:cols w:space="720"/>
        </w:sectPr>
      </w:pPr>
    </w:p>
    <w:p w14:paraId="1237EAED" w14:textId="77777777" w:rsidR="007F0771" w:rsidRDefault="007F0771">
      <w:pPr>
        <w:pStyle w:val="BodyText"/>
        <w:spacing w:before="4"/>
        <w:rPr>
          <w:sz w:val="16"/>
        </w:rPr>
      </w:pPr>
    </w:p>
    <w:sectPr w:rsidR="007F0771">
      <w:pgSz w:w="16840" w:h="11910" w:orient="landscape"/>
      <w:pgMar w:top="1100" w:right="2420" w:bottom="280" w:left="2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0D4C" w14:textId="77777777" w:rsidR="00367D3F" w:rsidRDefault="00367D3F" w:rsidP="008F2640">
      <w:r>
        <w:separator/>
      </w:r>
    </w:p>
  </w:endnote>
  <w:endnote w:type="continuationSeparator" w:id="0">
    <w:p w14:paraId="04DFC3D4" w14:textId="77777777" w:rsidR="00367D3F" w:rsidRDefault="00367D3F" w:rsidP="008F2640">
      <w:r>
        <w:continuationSeparator/>
      </w:r>
    </w:p>
  </w:endnote>
  <w:endnote w:type="continuationNotice" w:id="1">
    <w:p w14:paraId="1634982A" w14:textId="77777777" w:rsidR="00367D3F" w:rsidRDefault="0036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B11A" w14:textId="77777777" w:rsidR="00B435FF" w:rsidRDefault="00B435FF">
    <w:pPr>
      <w:pStyle w:val="Footer"/>
    </w:pPr>
  </w:p>
  <w:p w14:paraId="3A93D81F" w14:textId="04AB174D" w:rsidR="008F2640" w:rsidRDefault="008F2640">
    <w:pPr>
      <w:pStyle w:val="Footer"/>
    </w:pPr>
    <w:r>
      <w:t>Guidance</w:t>
    </w:r>
    <w:r w:rsidR="00B435FF">
      <w:t xml:space="preserve">: Pupil Moving and Handling in Schools </w:t>
    </w:r>
    <w:r w:rsidR="00157D11">
      <w:t>October 2023</w:t>
    </w:r>
  </w:p>
  <w:p w14:paraId="5392D331" w14:textId="77777777" w:rsidR="008F2640" w:rsidRDefault="008F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49A4" w14:textId="77777777" w:rsidR="00367D3F" w:rsidRDefault="00367D3F" w:rsidP="008F2640">
      <w:r>
        <w:separator/>
      </w:r>
    </w:p>
  </w:footnote>
  <w:footnote w:type="continuationSeparator" w:id="0">
    <w:p w14:paraId="7B887CED" w14:textId="77777777" w:rsidR="00367D3F" w:rsidRDefault="00367D3F" w:rsidP="008F2640">
      <w:r>
        <w:continuationSeparator/>
      </w:r>
    </w:p>
  </w:footnote>
  <w:footnote w:type="continuationNotice" w:id="1">
    <w:p w14:paraId="7408B719" w14:textId="77777777" w:rsidR="00367D3F" w:rsidRDefault="00367D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CEB"/>
    <w:multiLevelType w:val="hybridMultilevel"/>
    <w:tmpl w:val="906C1B72"/>
    <w:lvl w:ilvl="0" w:tplc="4F8E7690">
      <w:numFmt w:val="bullet"/>
      <w:lvlText w:val=""/>
      <w:lvlJc w:val="left"/>
      <w:pPr>
        <w:ind w:left="840" w:hanging="360"/>
      </w:pPr>
      <w:rPr>
        <w:rFonts w:hint="default"/>
        <w:w w:val="100"/>
        <w:lang w:val="en-GB" w:eastAsia="en-GB" w:bidi="en-GB"/>
      </w:rPr>
    </w:lvl>
    <w:lvl w:ilvl="1" w:tplc="FF62F098">
      <w:numFmt w:val="bullet"/>
      <w:lvlText w:val="•"/>
      <w:lvlJc w:val="left"/>
      <w:pPr>
        <w:ind w:left="1680" w:hanging="360"/>
      </w:pPr>
      <w:rPr>
        <w:rFonts w:hint="default"/>
        <w:lang w:val="en-GB" w:eastAsia="en-GB" w:bidi="en-GB"/>
      </w:rPr>
    </w:lvl>
    <w:lvl w:ilvl="2" w:tplc="834ED520">
      <w:numFmt w:val="bullet"/>
      <w:lvlText w:val="•"/>
      <w:lvlJc w:val="left"/>
      <w:pPr>
        <w:ind w:left="2521" w:hanging="360"/>
      </w:pPr>
      <w:rPr>
        <w:rFonts w:hint="default"/>
        <w:lang w:val="en-GB" w:eastAsia="en-GB" w:bidi="en-GB"/>
      </w:rPr>
    </w:lvl>
    <w:lvl w:ilvl="3" w:tplc="DC66BC08">
      <w:numFmt w:val="bullet"/>
      <w:lvlText w:val="•"/>
      <w:lvlJc w:val="left"/>
      <w:pPr>
        <w:ind w:left="3361" w:hanging="360"/>
      </w:pPr>
      <w:rPr>
        <w:rFonts w:hint="default"/>
        <w:lang w:val="en-GB" w:eastAsia="en-GB" w:bidi="en-GB"/>
      </w:rPr>
    </w:lvl>
    <w:lvl w:ilvl="4" w:tplc="296A49A2">
      <w:numFmt w:val="bullet"/>
      <w:lvlText w:val="•"/>
      <w:lvlJc w:val="left"/>
      <w:pPr>
        <w:ind w:left="4202" w:hanging="360"/>
      </w:pPr>
      <w:rPr>
        <w:rFonts w:hint="default"/>
        <w:lang w:val="en-GB" w:eastAsia="en-GB" w:bidi="en-GB"/>
      </w:rPr>
    </w:lvl>
    <w:lvl w:ilvl="5" w:tplc="2DDE00FA">
      <w:numFmt w:val="bullet"/>
      <w:lvlText w:val="•"/>
      <w:lvlJc w:val="left"/>
      <w:pPr>
        <w:ind w:left="5043" w:hanging="360"/>
      </w:pPr>
      <w:rPr>
        <w:rFonts w:hint="default"/>
        <w:lang w:val="en-GB" w:eastAsia="en-GB" w:bidi="en-GB"/>
      </w:rPr>
    </w:lvl>
    <w:lvl w:ilvl="6" w:tplc="D5409198">
      <w:numFmt w:val="bullet"/>
      <w:lvlText w:val="•"/>
      <w:lvlJc w:val="left"/>
      <w:pPr>
        <w:ind w:left="5883" w:hanging="360"/>
      </w:pPr>
      <w:rPr>
        <w:rFonts w:hint="default"/>
        <w:lang w:val="en-GB" w:eastAsia="en-GB" w:bidi="en-GB"/>
      </w:rPr>
    </w:lvl>
    <w:lvl w:ilvl="7" w:tplc="0D7A4956">
      <w:numFmt w:val="bullet"/>
      <w:lvlText w:val="•"/>
      <w:lvlJc w:val="left"/>
      <w:pPr>
        <w:ind w:left="6724" w:hanging="360"/>
      </w:pPr>
      <w:rPr>
        <w:rFonts w:hint="default"/>
        <w:lang w:val="en-GB" w:eastAsia="en-GB" w:bidi="en-GB"/>
      </w:rPr>
    </w:lvl>
    <w:lvl w:ilvl="8" w:tplc="EB3AB390">
      <w:numFmt w:val="bullet"/>
      <w:lvlText w:val="•"/>
      <w:lvlJc w:val="left"/>
      <w:pPr>
        <w:ind w:left="7565" w:hanging="360"/>
      </w:pPr>
      <w:rPr>
        <w:rFonts w:hint="default"/>
        <w:lang w:val="en-GB" w:eastAsia="en-GB" w:bidi="en-GB"/>
      </w:rPr>
    </w:lvl>
  </w:abstractNum>
  <w:num w:numId="1" w16cid:durableId="188259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7F0771"/>
    <w:rsid w:val="00154319"/>
    <w:rsid w:val="00157D11"/>
    <w:rsid w:val="001B761A"/>
    <w:rsid w:val="002A6103"/>
    <w:rsid w:val="00367D3F"/>
    <w:rsid w:val="00434ED7"/>
    <w:rsid w:val="00585F93"/>
    <w:rsid w:val="00676500"/>
    <w:rsid w:val="0072551A"/>
    <w:rsid w:val="007A5090"/>
    <w:rsid w:val="007F0771"/>
    <w:rsid w:val="008E11EA"/>
    <w:rsid w:val="008F2640"/>
    <w:rsid w:val="009048A4"/>
    <w:rsid w:val="00950C35"/>
    <w:rsid w:val="00AF5D77"/>
    <w:rsid w:val="00B435FF"/>
    <w:rsid w:val="00B66960"/>
    <w:rsid w:val="00BB6D6E"/>
    <w:rsid w:val="00BC610C"/>
    <w:rsid w:val="00C90402"/>
    <w:rsid w:val="00C923A6"/>
    <w:rsid w:val="00CE6554"/>
    <w:rsid w:val="00D34F4F"/>
    <w:rsid w:val="00DE2EE6"/>
    <w:rsid w:val="00EE4A84"/>
    <w:rsid w:val="0A53A675"/>
    <w:rsid w:val="10D16EA5"/>
    <w:rsid w:val="4F8B0434"/>
    <w:rsid w:val="7889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37EAAF"/>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5"/>
      <w:ind w:left="84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2640"/>
    <w:pPr>
      <w:tabs>
        <w:tab w:val="center" w:pos="4513"/>
        <w:tab w:val="right" w:pos="9026"/>
      </w:tabs>
    </w:pPr>
  </w:style>
  <w:style w:type="character" w:customStyle="1" w:styleId="HeaderChar">
    <w:name w:val="Header Char"/>
    <w:basedOn w:val="DefaultParagraphFont"/>
    <w:link w:val="Header"/>
    <w:uiPriority w:val="99"/>
    <w:rsid w:val="008F2640"/>
    <w:rPr>
      <w:rFonts w:ascii="Calibri Light" w:eastAsia="Calibri Light" w:hAnsi="Calibri Light" w:cs="Calibri Light"/>
      <w:lang w:val="en-GB" w:eastAsia="en-GB" w:bidi="en-GB"/>
    </w:rPr>
  </w:style>
  <w:style w:type="paragraph" w:styleId="Footer">
    <w:name w:val="footer"/>
    <w:basedOn w:val="Normal"/>
    <w:link w:val="FooterChar"/>
    <w:uiPriority w:val="99"/>
    <w:unhideWhenUsed/>
    <w:rsid w:val="008F2640"/>
    <w:pPr>
      <w:tabs>
        <w:tab w:val="center" w:pos="4513"/>
        <w:tab w:val="right" w:pos="9026"/>
      </w:tabs>
    </w:pPr>
  </w:style>
  <w:style w:type="character" w:customStyle="1" w:styleId="FooterChar">
    <w:name w:val="Footer Char"/>
    <w:basedOn w:val="DefaultParagraphFont"/>
    <w:link w:val="Footer"/>
    <w:uiPriority w:val="99"/>
    <w:rsid w:val="008F2640"/>
    <w:rPr>
      <w:rFonts w:ascii="Calibri Light" w:eastAsia="Calibri Light" w:hAnsi="Calibri Light" w:cs="Calibri Light"/>
      <w:lang w:val="en-GB" w:eastAsia="en-GB" w:bidi="en-GB"/>
    </w:rPr>
  </w:style>
  <w:style w:type="character" w:styleId="Hyperlink">
    <w:name w:val="Hyperlink"/>
    <w:basedOn w:val="DefaultParagraphFont"/>
    <w:uiPriority w:val="99"/>
    <w:unhideWhenUsed/>
    <w:rsid w:val="00BC610C"/>
    <w:rPr>
      <w:color w:val="0000FF"/>
      <w:u w:val="single"/>
    </w:rPr>
  </w:style>
  <w:style w:type="character" w:styleId="UnresolvedMention">
    <w:name w:val="Unresolved Mention"/>
    <w:basedOn w:val="DefaultParagraphFont"/>
    <w:uiPriority w:val="99"/>
    <w:semiHidden/>
    <w:unhideWhenUsed/>
    <w:rsid w:val="00BC610C"/>
    <w:rPr>
      <w:color w:val="605E5C"/>
      <w:shd w:val="clear" w:color="auto" w:fill="E1DFDD"/>
    </w:rPr>
  </w:style>
  <w:style w:type="character" w:styleId="FollowedHyperlink">
    <w:name w:val="FollowedHyperlink"/>
    <w:basedOn w:val="DefaultParagraphFont"/>
    <w:uiPriority w:val="99"/>
    <w:semiHidden/>
    <w:unhideWhenUsed/>
    <w:rsid w:val="00B66960"/>
    <w:rPr>
      <w:color w:val="800080" w:themeColor="followedHyperlink"/>
      <w:u w:val="single"/>
    </w:rPr>
  </w:style>
  <w:style w:type="paragraph" w:styleId="NormalWeb">
    <w:name w:val="Normal (Web)"/>
    <w:basedOn w:val="Normal"/>
    <w:uiPriority w:val="99"/>
    <w:semiHidden/>
    <w:unhideWhenUsed/>
    <w:rsid w:val="00950C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A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5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do.aberdeenshire.gov.uk/enrol/index.php?id=946" TargetMode="External"/><Relationship Id="rId18" Type="http://schemas.openxmlformats.org/officeDocument/2006/relationships/hyperlink" Target="https://aldo.aberdeenshire.gov.uk/course/view.php?id=964" TargetMode="External"/><Relationship Id="rId26" Type="http://schemas.openxmlformats.org/officeDocument/2006/relationships/hyperlink" Target="http://www.un.org/disabilities/documents/convention/convoptprot-e.pdf" TargetMode="External"/><Relationship Id="rId39" Type="http://schemas.openxmlformats.org/officeDocument/2006/relationships/hyperlink" Target="https://asn-aberdeenshire.org/planning-documentation/" TargetMode="External"/><Relationship Id="rId3" Type="http://schemas.openxmlformats.org/officeDocument/2006/relationships/customXml" Target="../customXml/item3.xml"/><Relationship Id="rId21" Type="http://schemas.openxmlformats.org/officeDocument/2006/relationships/hyperlink" Target="https://asn-aberdeenshire.org/planning-documentation/" TargetMode="External"/><Relationship Id="rId34" Type="http://schemas.openxmlformats.org/officeDocument/2006/relationships/hyperlink" Target="http://www.legislation.gov.uk/asp/2014/8/contents/enacted" TargetMode="External"/><Relationship Id="rId7" Type="http://schemas.openxmlformats.org/officeDocument/2006/relationships/webSettings" Target="webSettings.xml"/><Relationship Id="rId12" Type="http://schemas.openxmlformats.org/officeDocument/2006/relationships/hyperlink" Target="https://asn-aberdeenshire.org/policies-and-guidance/" TargetMode="External"/><Relationship Id="rId17" Type="http://schemas.openxmlformats.org/officeDocument/2006/relationships/hyperlink" Target="https://aldo.aberdeenshire.gov.uk/enrol/index.php?id=946" TargetMode="External"/><Relationship Id="rId25" Type="http://schemas.openxmlformats.org/officeDocument/2006/relationships/hyperlink" Target="https://publications.parliament.uk/pa/jt200203/jtselect/jtrights/117/117.pdf" TargetMode="External"/><Relationship Id="rId33" Type="http://schemas.openxmlformats.org/officeDocument/2006/relationships/hyperlink" Target="http://www.hse.gov.uk/pubns/books/l113.htm" TargetMode="External"/><Relationship Id="rId38" Type="http://schemas.openxmlformats.org/officeDocument/2006/relationships/hyperlink" Target="https://news.gov.scot/news/education-bill" TargetMode="External"/><Relationship Id="rId2" Type="http://schemas.openxmlformats.org/officeDocument/2006/relationships/customXml" Target="../customXml/item2.xml"/><Relationship Id="rId16" Type="http://schemas.openxmlformats.org/officeDocument/2006/relationships/hyperlink" Target="https://aldo.aberdeenshire.gov.uk/enrol/index.php?id=946" TargetMode="External"/><Relationship Id="rId20" Type="http://schemas.openxmlformats.org/officeDocument/2006/relationships/hyperlink" Target="mailto:ASNInclusionEquityWellbeing@aberdeenshire.gov.uk" TargetMode="External"/><Relationship Id="rId29" Type="http://schemas.openxmlformats.org/officeDocument/2006/relationships/hyperlink" Target="http://www.hse.gov.uk/legislation/hswa.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rfec-aberdeenshire.org/" TargetMode="External"/><Relationship Id="rId24" Type="http://schemas.openxmlformats.org/officeDocument/2006/relationships/hyperlink" Target="http://www.gov.scot/Topics/People/Young-People/gettingitright" TargetMode="External"/><Relationship Id="rId32" Type="http://schemas.openxmlformats.org/officeDocument/2006/relationships/hyperlink" Target="http://www.hse.gov.uk/pubns/books/l22.htm" TargetMode="External"/><Relationship Id="rId37" Type="http://schemas.openxmlformats.org/officeDocument/2006/relationships/hyperlink" Target="http://www.gov.scot/Topics/People/Young-People/gettingitright"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gov.scot/Topics/People/Young-People/gettingitright"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www.gov.scot/Publications/2016/01/1324/3" TargetMode="External"/><Relationship Id="rId10" Type="http://schemas.openxmlformats.org/officeDocument/2006/relationships/image" Target="media/image1.png"/><Relationship Id="rId19" Type="http://schemas.openxmlformats.org/officeDocument/2006/relationships/hyperlink" Target="https://aldo.aberdeenshire.gov.uk/course/view.php?id=963" TargetMode="External"/><Relationship Id="rId31" Type="http://schemas.openxmlformats.org/officeDocument/2006/relationships/hyperlink" Target="http://www.hse.gov.uk/pubns/books/l2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ldo.aberdeenshire.gov.uk/enrol/index.php?id=946" TargetMode="External"/><Relationship Id="rId22" Type="http://schemas.openxmlformats.org/officeDocument/2006/relationships/hyperlink" Target="mailto:ASNInclusionEquityWellbeing@aberdeenshire.gov.uk" TargetMode="External"/><Relationship Id="rId27" Type="http://schemas.openxmlformats.org/officeDocument/2006/relationships/hyperlink" Target="http://www.legislation.gov.uk/asp/2014/8/contents/enacted" TargetMode="External"/><Relationship Id="rId30" Type="http://schemas.openxmlformats.org/officeDocument/2006/relationships/hyperlink" Target="http://www.hse.gov.uk/pubns/books/l23.htm" TargetMode="External"/><Relationship Id="rId35" Type="http://schemas.openxmlformats.org/officeDocument/2006/relationships/hyperlink" Target="http://www.legislation.gov.uk/asp/2014/8/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4BA8A-B520-4038-A010-E66D648F5CB9}">
  <ds:schemaRefs>
    <ds:schemaRef ds:uri="http://schemas.microsoft.com/sharepoint/v3/contenttype/forms"/>
  </ds:schemaRefs>
</ds:datastoreItem>
</file>

<file path=customXml/itemProps2.xml><?xml version="1.0" encoding="utf-8"?>
<ds:datastoreItem xmlns:ds="http://schemas.openxmlformats.org/officeDocument/2006/customXml" ds:itemID="{295186FC-8FB0-4831-A1EE-F17A8809E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89A66-76FE-46ED-927B-C0D015D08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1241</Words>
  <Characters>7080</Characters>
  <Application>Microsoft Office Word</Application>
  <DocSecurity>0</DocSecurity>
  <Lines>59</Lines>
  <Paragraphs>16</Paragraphs>
  <ScaleCrop>false</ScaleCrop>
  <Company>Aberdeenshire Council</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Moving and Handling in Schools - Guidance</dc:title>
  <dc:creator>Jane Warrander</dc:creator>
  <cp:lastModifiedBy>Katie Timney</cp:lastModifiedBy>
  <cp:revision>23</cp:revision>
  <dcterms:created xsi:type="dcterms:W3CDTF">2023-06-01T13:48:00Z</dcterms:created>
  <dcterms:modified xsi:type="dcterms:W3CDTF">2023-10-09T12:31:00Z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